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r>
        <w:rPr>
          <w:rFonts w:hint="eastAsia"/>
        </w:rPr>
        <w:t xml:space="preserve">                                          </w:t>
      </w:r>
    </w:p>
    <w:p>
      <w:pPr>
        <w:spacing w:line="600" w:lineRule="exact"/>
        <w:jc w:val="center"/>
        <w:rPr>
          <w:rFonts w:hint="eastAsia" w:ascii="方正小标宋简体" w:hAnsi="方正小标宋简体" w:eastAsia="方正小标宋简体" w:cs="方正小标宋简体"/>
          <w:b w:val="0"/>
          <w:bCs w:val="0"/>
          <w:sz w:val="44"/>
          <w:szCs w:val="44"/>
        </w:rPr>
      </w:pPr>
    </w:p>
    <w:p>
      <w:pPr>
        <w:spacing w:line="600" w:lineRule="exact"/>
        <w:jc w:val="center"/>
        <w:rPr>
          <w:rFonts w:hint="eastAsia" w:ascii="方正小标宋简体" w:hAnsi="方正小标宋简体" w:eastAsia="方正小标宋简体" w:cs="方正小标宋简体"/>
          <w:b w:val="0"/>
          <w:bCs w:val="0"/>
          <w:sz w:val="44"/>
          <w:szCs w:val="44"/>
        </w:rPr>
      </w:pPr>
    </w:p>
    <w:p>
      <w:pPr>
        <w:widowControl w:val="0"/>
        <w:wordWrap/>
        <w:adjustRightInd/>
        <w:snapToGrid/>
        <w:spacing w:after="156" w:afterLines="50" w:line="600" w:lineRule="exact"/>
        <w:ind w:left="0" w:leftChars="0" w:right="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仿宋_GB2312" w:hAnsi="仿宋_GB2312" w:eastAsia="仿宋_GB2312" w:cs="仿宋_GB2312"/>
          <w:sz w:val="32"/>
          <w:szCs w:val="32"/>
          <w:lang w:val="en-US" w:eastAsia="zh-CN"/>
        </w:rPr>
        <w:t xml:space="preserve">                                 工人函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201</w:t>
      </w:r>
      <w:r>
        <w:rPr>
          <w:rFonts w:hint="default"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321号</w:t>
      </w:r>
    </w:p>
    <w:p>
      <w:pPr>
        <w:spacing w:line="60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pacing w:val="-20"/>
          <w:sz w:val="44"/>
          <w:szCs w:val="44"/>
        </w:rPr>
        <w:t>工业和信息化部</w:t>
      </w:r>
      <w:r>
        <w:rPr>
          <w:rFonts w:hint="eastAsia" w:ascii="方正小标宋简体" w:hAnsi="方正小标宋简体" w:eastAsia="方正小标宋简体" w:cs="方正小标宋简体"/>
          <w:b w:val="0"/>
          <w:bCs w:val="0"/>
          <w:spacing w:val="-20"/>
          <w:sz w:val="44"/>
          <w:szCs w:val="44"/>
          <w:lang w:eastAsia="zh-CN"/>
        </w:rPr>
        <w:t>人事教育司</w:t>
      </w:r>
      <w:r>
        <w:rPr>
          <w:rFonts w:hint="eastAsia" w:ascii="方正小标宋简体" w:hAnsi="方正小标宋简体" w:eastAsia="方正小标宋简体" w:cs="方正小标宋简体"/>
          <w:b w:val="0"/>
          <w:bCs w:val="0"/>
          <w:spacing w:val="-20"/>
          <w:sz w:val="44"/>
          <w:szCs w:val="44"/>
        </w:rPr>
        <w:t>关于</w:t>
      </w:r>
      <w:r>
        <w:rPr>
          <w:rFonts w:hint="eastAsia" w:ascii="方正小标宋简体" w:hAnsi="方正小标宋简体" w:eastAsia="方正小标宋简体" w:cs="方正小标宋简体"/>
          <w:b w:val="0"/>
          <w:bCs w:val="0"/>
          <w:spacing w:val="-20"/>
          <w:sz w:val="44"/>
          <w:szCs w:val="44"/>
          <w:lang w:eastAsia="zh-CN"/>
        </w:rPr>
        <w:t>开展</w:t>
      </w:r>
      <w:r>
        <w:rPr>
          <w:rFonts w:hint="eastAsia" w:ascii="方正小标宋简体" w:hAnsi="方正小标宋简体" w:eastAsia="方正小标宋简体" w:cs="方正小标宋简体"/>
          <w:b w:val="0"/>
          <w:bCs w:val="0"/>
          <w:spacing w:val="-20"/>
          <w:sz w:val="44"/>
          <w:szCs w:val="44"/>
        </w:rPr>
        <w:t>首批工业和信息化部校企协同育人示范基地认定</w:t>
      </w:r>
      <w:r>
        <w:rPr>
          <w:rFonts w:hint="eastAsia" w:ascii="方正小标宋简体" w:hAnsi="方正小标宋简体" w:eastAsia="方正小标宋简体" w:cs="方正小标宋简体"/>
          <w:b w:val="0"/>
          <w:bCs w:val="0"/>
          <w:spacing w:val="-20"/>
          <w:sz w:val="44"/>
          <w:szCs w:val="44"/>
          <w:lang w:eastAsia="zh-CN"/>
        </w:rPr>
        <w:t>工作</w:t>
      </w:r>
      <w:r>
        <w:rPr>
          <w:rFonts w:hint="eastAsia" w:ascii="方正小标宋简体" w:hAnsi="方正小标宋简体" w:eastAsia="方正小标宋简体" w:cs="方正小标宋简体"/>
          <w:b w:val="0"/>
          <w:bCs w:val="0"/>
          <w:spacing w:val="-20"/>
          <w:sz w:val="44"/>
          <w:szCs w:val="44"/>
        </w:rPr>
        <w:t>的通知</w:t>
      </w:r>
    </w:p>
    <w:p>
      <w:pPr>
        <w:spacing w:beforeLines="0" w:afterLines="0" w:line="360" w:lineRule="auto"/>
        <w:jc w:val="center"/>
        <w:rPr>
          <w:rFonts w:hint="eastAsia" w:ascii="楷体" w:hAnsi="楷体" w:eastAsia="楷体" w:cs="楷体"/>
          <w:sz w:val="32"/>
          <w:szCs w:val="32"/>
          <w:lang w:val="en-US" w:eastAsia="zh-CN"/>
        </w:rPr>
      </w:pPr>
    </w:p>
    <w:p>
      <w:pPr>
        <w:wordWrap/>
        <w:spacing w:line="560" w:lineRule="exact"/>
        <w:ind w:left="0" w:leftChars="0" w:right="0"/>
        <w:jc w:val="both"/>
        <w:textAlignment w:val="auto"/>
        <w:outlineLvl w:val="9"/>
        <w:rPr>
          <w:rFonts w:ascii="仿宋_GB2312" w:hAnsi="宋体" w:eastAsia="仿宋_GB2312"/>
          <w:sz w:val="32"/>
          <w:szCs w:val="32"/>
        </w:rPr>
      </w:pPr>
      <w:r>
        <w:rPr>
          <w:rFonts w:hint="eastAsia" w:ascii="仿宋_GB2312" w:hAnsi="宋体" w:eastAsia="仿宋_GB2312"/>
          <w:sz w:val="32"/>
          <w:szCs w:val="32"/>
          <w:lang w:eastAsia="zh-CN"/>
        </w:rPr>
        <w:t>部属</w:t>
      </w:r>
      <w:r>
        <w:rPr>
          <w:rFonts w:hint="eastAsia" w:ascii="仿宋_GB2312" w:hAnsi="宋体" w:eastAsia="仿宋_GB2312"/>
          <w:sz w:val="32"/>
          <w:szCs w:val="32"/>
        </w:rPr>
        <w:t>各高校</w:t>
      </w:r>
      <w:r>
        <w:rPr>
          <w:rFonts w:hint="eastAsia" w:ascii="仿宋_GB2312" w:hAnsi="宋体" w:eastAsia="仿宋_GB2312"/>
          <w:sz w:val="32"/>
          <w:szCs w:val="32"/>
          <w:lang w:eastAsia="zh-CN"/>
        </w:rPr>
        <w:t>：</w:t>
      </w:r>
    </w:p>
    <w:p>
      <w:pPr>
        <w:wordWrap/>
        <w:spacing w:line="560" w:lineRule="exact"/>
        <w:ind w:left="0" w:leftChars="0" w:right="0" w:firstLine="640" w:firstLineChars="200"/>
        <w:textAlignment w:val="auto"/>
        <w:outlineLvl w:val="9"/>
        <w:rPr>
          <w:rFonts w:ascii="仿宋_GB2312" w:hAnsi="仿宋_GB2312" w:eastAsia="仿宋_GB2312"/>
          <w:sz w:val="32"/>
          <w:szCs w:val="32"/>
        </w:rPr>
      </w:pPr>
      <w:r>
        <w:rPr>
          <w:rFonts w:hint="eastAsia" w:ascii="仿宋_GB2312" w:hAnsi="仿宋_GB2312" w:eastAsia="仿宋_GB2312"/>
          <w:sz w:val="32"/>
          <w:szCs w:val="32"/>
        </w:rPr>
        <w:t>为</w:t>
      </w:r>
      <w:r>
        <w:rPr>
          <w:rFonts w:hint="eastAsia" w:ascii="仿宋_GB2312" w:hAnsi="仿宋_GB2312" w:eastAsia="仿宋_GB2312"/>
          <w:sz w:val="32"/>
          <w:szCs w:val="32"/>
          <w:lang w:eastAsia="zh-CN"/>
        </w:rPr>
        <w:t>贯彻落实习近平总书记关于高等教育的重要论述，</w:t>
      </w:r>
      <w:r>
        <w:rPr>
          <w:rFonts w:hint="eastAsia" w:ascii="仿宋_GB2312" w:hAnsi="仿宋_GB2312" w:eastAsia="仿宋_GB2312"/>
          <w:sz w:val="32"/>
          <w:szCs w:val="32"/>
        </w:rPr>
        <w:t>积极推进高校教育教学改革，深化校企合作，全面提升人才培养质量，更好地为</w:t>
      </w:r>
      <w:r>
        <w:rPr>
          <w:rFonts w:hint="eastAsia" w:ascii="仿宋_GB2312" w:hAnsi="仿宋_GB2312" w:eastAsia="仿宋_GB2312"/>
          <w:sz w:val="32"/>
          <w:szCs w:val="32"/>
          <w:lang w:eastAsia="zh-CN"/>
        </w:rPr>
        <w:t>制造强国、网络强国建设</w:t>
      </w:r>
      <w:r>
        <w:rPr>
          <w:rFonts w:hint="eastAsia" w:ascii="仿宋_GB2312" w:hAnsi="仿宋_GB2312" w:eastAsia="仿宋_GB2312"/>
          <w:sz w:val="32"/>
          <w:szCs w:val="32"/>
        </w:rPr>
        <w:t>服务，</w:t>
      </w:r>
      <w:r>
        <w:rPr>
          <w:rFonts w:hint="eastAsia" w:ascii="仿宋_GB2312" w:hAnsi="仿宋_GB2312" w:eastAsia="仿宋_GB2312"/>
          <w:sz w:val="32"/>
          <w:szCs w:val="32"/>
          <w:lang w:eastAsia="zh-CN"/>
        </w:rPr>
        <w:t>现</w:t>
      </w:r>
      <w:r>
        <w:rPr>
          <w:rFonts w:hint="eastAsia" w:ascii="仿宋_GB2312" w:hAnsi="仿宋_GB2312" w:eastAsia="仿宋_GB2312"/>
          <w:sz w:val="32"/>
          <w:szCs w:val="32"/>
        </w:rPr>
        <w:t>面向</w:t>
      </w:r>
      <w:r>
        <w:rPr>
          <w:rFonts w:hint="eastAsia" w:ascii="仿宋_GB2312" w:hAnsi="仿宋_GB2312" w:eastAsia="仿宋_GB2312"/>
          <w:sz w:val="32"/>
          <w:szCs w:val="32"/>
          <w:lang w:eastAsia="zh-CN"/>
        </w:rPr>
        <w:t>部属</w:t>
      </w:r>
      <w:r>
        <w:rPr>
          <w:rFonts w:hint="eastAsia" w:ascii="仿宋_GB2312" w:hAnsi="仿宋_GB2312" w:eastAsia="仿宋_GB2312"/>
          <w:sz w:val="32"/>
          <w:szCs w:val="32"/>
        </w:rPr>
        <w:t>高校</w:t>
      </w:r>
      <w:r>
        <w:rPr>
          <w:rFonts w:hint="eastAsia" w:ascii="仿宋_GB2312" w:hAnsi="仿宋_GB2312" w:eastAsia="仿宋_GB2312"/>
          <w:sz w:val="32"/>
          <w:szCs w:val="32"/>
          <w:lang w:eastAsia="zh-CN"/>
        </w:rPr>
        <w:t>认定一批工业和信息化部</w:t>
      </w:r>
      <w:r>
        <w:rPr>
          <w:rFonts w:hint="eastAsia" w:ascii="仿宋_GB2312" w:hAnsi="仿宋_GB2312" w:eastAsia="仿宋_GB2312"/>
          <w:sz w:val="32"/>
          <w:szCs w:val="32"/>
        </w:rPr>
        <w:t>校企协同育人示范基地</w:t>
      </w:r>
      <w:r>
        <w:rPr>
          <w:rFonts w:hint="eastAsia" w:ascii="仿宋_GB2312" w:hAnsi="仿宋_GB2312" w:eastAsia="仿宋_GB2312"/>
          <w:sz w:val="32"/>
          <w:szCs w:val="32"/>
          <w:lang w:eastAsia="zh-CN"/>
        </w:rPr>
        <w:t>，有关事宜通知如下：</w:t>
      </w:r>
    </w:p>
    <w:p>
      <w:pPr>
        <w:wordWrap/>
        <w:spacing w:line="560" w:lineRule="exact"/>
        <w:ind w:left="0" w:leftChars="0" w:right="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一、指导思想</w:t>
      </w:r>
    </w:p>
    <w:p>
      <w:pPr>
        <w:wordWrap/>
        <w:spacing w:line="560" w:lineRule="exact"/>
        <w:ind w:left="0" w:leftChars="0" w:right="0" w:firstLine="640" w:firstLineChars="200"/>
        <w:textAlignment w:val="auto"/>
        <w:outlineLvl w:val="9"/>
        <w:rPr>
          <w:rFonts w:hint="eastAsia" w:ascii="仿宋_GB2312" w:hAnsi="黑体" w:eastAsia="仿宋_GB2312" w:cs="仿宋"/>
          <w:sz w:val="32"/>
          <w:szCs w:val="32"/>
        </w:rPr>
      </w:pPr>
      <w:r>
        <w:rPr>
          <w:rFonts w:hint="eastAsia" w:ascii="仿宋_GB2312" w:hAnsi="黑体" w:eastAsia="仿宋_GB2312" w:cs="仿宋"/>
          <w:sz w:val="32"/>
          <w:szCs w:val="32"/>
        </w:rPr>
        <w:t>坚持以习近平新时代中国特色社会主义思想和党的十九大精神为指导，全面贯彻全国教育大会精神，推进实施《中国教育现代化2035》和《加快推进教育现代化实施方案(2018-2022年)》，以服务行业产业需求为导向，以校企协同合作为基础，以全面提高人才培养质量为目标，推动高校和企业（院所）发挥各自优势，形成校企（院所）协同育人的长效机制，为“两个强国”建设提供强有力的人才支持。</w:t>
      </w:r>
    </w:p>
    <w:p>
      <w:pPr>
        <w:wordWrap/>
        <w:spacing w:line="560" w:lineRule="exact"/>
        <w:ind w:left="0" w:leftChars="0" w:right="0" w:firstLine="640" w:firstLineChars="200"/>
        <w:textAlignment w:val="auto"/>
        <w:outlineLvl w:val="9"/>
        <w:rPr>
          <w:rFonts w:hint="eastAsia" w:ascii="仿宋_GB2312" w:hAnsi="黑体" w:eastAsia="仿宋_GB2312" w:cs="仿宋"/>
          <w:sz w:val="32"/>
          <w:szCs w:val="32"/>
        </w:rPr>
      </w:pPr>
      <w:r>
        <w:rPr>
          <w:rFonts w:hint="eastAsia" w:ascii="黑体" w:hAnsi="黑体" w:eastAsia="黑体" w:cs="黑体"/>
          <w:sz w:val="32"/>
          <w:szCs w:val="32"/>
        </w:rPr>
        <w:t>二、主要目标</w:t>
      </w:r>
    </w:p>
    <w:p>
      <w:pPr>
        <w:wordWrap/>
        <w:spacing w:line="560" w:lineRule="exact"/>
        <w:ind w:left="0" w:leftChars="0" w:right="0" w:firstLine="640" w:firstLineChars="200"/>
        <w:textAlignment w:val="auto"/>
        <w:outlineLvl w:val="9"/>
        <w:rPr>
          <w:rFonts w:ascii="仿宋_GB2312" w:hAnsi="黑体" w:eastAsia="仿宋_GB2312" w:cs="仿宋"/>
          <w:kern w:val="0"/>
          <w:sz w:val="32"/>
          <w:szCs w:val="32"/>
        </w:rPr>
      </w:pPr>
      <w:r>
        <w:rPr>
          <w:rFonts w:hint="eastAsia" w:ascii="仿宋_GB2312" w:hAnsi="黑体" w:eastAsia="仿宋_GB2312" w:cs="仿宋"/>
          <w:sz w:val="32"/>
          <w:szCs w:val="32"/>
        </w:rPr>
        <w:t>深入挖掘部属高校和国防军工企业、科研院所的人才培养特色和优势资源，建设一批示范基地，选树一批校企合作、产教融合、协同育人的典型案例，形成具有工信部特色的校企协同育人模式和经验。全面提高示范基地人才培养质量，培养更多信念</w:t>
      </w:r>
      <w:r>
        <w:rPr>
          <w:rFonts w:hint="eastAsia" w:ascii="仿宋_GB2312" w:hAnsi="黑体" w:eastAsia="仿宋_GB2312" w:cs="仿宋"/>
          <w:sz w:val="32"/>
          <w:szCs w:val="32"/>
          <w:lang w:eastAsia="zh-CN"/>
        </w:rPr>
        <w:t>坚定</w:t>
      </w:r>
      <w:r>
        <w:rPr>
          <w:rFonts w:hint="eastAsia" w:ascii="仿宋_GB2312" w:hAnsi="黑体" w:eastAsia="仿宋_GB2312" w:cs="仿宋"/>
          <w:sz w:val="32"/>
          <w:szCs w:val="32"/>
        </w:rPr>
        <w:t>、品德优良、知识丰富、本领过硬的高素质人才和拔尖创新人才。将高校青年教师专业发展、行业企业员工知识更新纳入高校人才培育体系，构建新时代校企协同育人长效机制，真正把高等教育改革做深做实做出品牌，全面提升高校人才培养对行业产业发展和“两个强国”建设的支撑度、匹配度和符合度。</w:t>
      </w:r>
    </w:p>
    <w:p>
      <w:pPr>
        <w:widowControl/>
        <w:wordWrap/>
        <w:adjustRightInd w:val="0"/>
        <w:snapToGrid w:val="0"/>
        <w:spacing w:line="560" w:lineRule="exact"/>
        <w:ind w:left="0" w:leftChars="0" w:right="0" w:firstLine="640" w:firstLineChars="200"/>
        <w:textAlignment w:val="auto"/>
        <w:outlineLvl w:val="9"/>
        <w:rPr>
          <w:rFonts w:ascii="黑体" w:hAnsi="宋体" w:eastAsia="黑体" w:cs="宋体"/>
          <w:kern w:val="0"/>
          <w:sz w:val="32"/>
          <w:szCs w:val="32"/>
        </w:rPr>
      </w:pPr>
      <w:r>
        <w:rPr>
          <w:rFonts w:hint="eastAsia" w:ascii="黑体" w:hAnsi="宋体" w:eastAsia="黑体" w:cs="宋体"/>
          <w:kern w:val="0"/>
          <w:sz w:val="32"/>
          <w:szCs w:val="32"/>
        </w:rPr>
        <w:t>三、主要任务</w:t>
      </w:r>
    </w:p>
    <w:p>
      <w:pPr>
        <w:wordWrap/>
        <w:spacing w:line="560" w:lineRule="exact"/>
        <w:ind w:left="0" w:leftChars="0" w:right="0" w:firstLine="643" w:firstLineChars="200"/>
        <w:textAlignment w:val="auto"/>
        <w:outlineLvl w:val="9"/>
        <w:rPr>
          <w:rFonts w:ascii="仿宋_GB2312" w:hAnsi="宋体" w:eastAsia="仿宋_GB2312" w:cs="宋体"/>
          <w:kern w:val="0"/>
          <w:sz w:val="32"/>
          <w:szCs w:val="28"/>
        </w:rPr>
      </w:pPr>
      <w:r>
        <w:rPr>
          <w:rFonts w:hint="eastAsia" w:ascii="楷体" w:hAnsi="楷体" w:eastAsia="楷体" w:cs="楷体"/>
          <w:b/>
          <w:kern w:val="0"/>
          <w:sz w:val="32"/>
          <w:szCs w:val="32"/>
        </w:rPr>
        <w:t>（</w:t>
      </w:r>
      <w:r>
        <w:rPr>
          <w:rFonts w:hint="eastAsia" w:ascii="楷体" w:hAnsi="楷体" w:eastAsia="楷体" w:cs="楷体"/>
          <w:b/>
          <w:kern w:val="0"/>
          <w:sz w:val="32"/>
          <w:szCs w:val="32"/>
          <w:lang w:eastAsia="zh-CN"/>
        </w:rPr>
        <w:t>一</w:t>
      </w:r>
      <w:r>
        <w:rPr>
          <w:rFonts w:hint="eastAsia" w:ascii="楷体" w:hAnsi="楷体" w:eastAsia="楷体" w:cs="楷体"/>
          <w:b/>
          <w:kern w:val="0"/>
          <w:sz w:val="32"/>
          <w:szCs w:val="32"/>
        </w:rPr>
        <w:t>）构建校企协同育人平台</w:t>
      </w:r>
      <w:r>
        <w:rPr>
          <w:rFonts w:hint="eastAsia" w:ascii="楷体" w:hAnsi="楷体" w:eastAsia="楷体" w:cs="楷体"/>
          <w:b/>
          <w:kern w:val="0"/>
          <w:sz w:val="32"/>
          <w:szCs w:val="32"/>
          <w:lang w:eastAsia="zh-CN"/>
        </w:rPr>
        <w:t>。</w:t>
      </w:r>
      <w:r>
        <w:rPr>
          <w:rFonts w:hint="eastAsia" w:ascii="仿宋_GB2312" w:hAnsi="宋体" w:eastAsia="仿宋_GB2312" w:cs="宋体"/>
          <w:kern w:val="0"/>
          <w:sz w:val="32"/>
          <w:szCs w:val="28"/>
        </w:rPr>
        <w:t>学校和</w:t>
      </w:r>
      <w:r>
        <w:rPr>
          <w:rFonts w:hint="eastAsia" w:ascii="仿宋_GB2312" w:hAnsi="仿宋_GB2312" w:eastAsia="仿宋_GB2312" w:cs="宋体"/>
          <w:kern w:val="0"/>
          <w:sz w:val="32"/>
          <w:szCs w:val="32"/>
        </w:rPr>
        <w:t>企业（院所）</w:t>
      </w:r>
      <w:r>
        <w:rPr>
          <w:rFonts w:hint="eastAsia" w:ascii="仿宋_GB2312" w:hAnsi="宋体" w:eastAsia="仿宋_GB2312" w:cs="宋体"/>
          <w:kern w:val="0"/>
          <w:sz w:val="32"/>
          <w:szCs w:val="28"/>
        </w:rPr>
        <w:t>通过软硬件平台建设，为学生实习实践提供政策</w:t>
      </w:r>
      <w:r>
        <w:rPr>
          <w:rFonts w:hint="eastAsia" w:ascii="仿宋_GB2312" w:hAnsi="宋体" w:eastAsia="仿宋_GB2312" w:cs="宋体"/>
          <w:kern w:val="0"/>
          <w:sz w:val="32"/>
          <w:szCs w:val="28"/>
          <w:lang w:eastAsia="zh-CN"/>
        </w:rPr>
        <w:t>、条件</w:t>
      </w:r>
      <w:r>
        <w:rPr>
          <w:rFonts w:hint="eastAsia" w:ascii="仿宋_GB2312" w:hAnsi="宋体" w:eastAsia="仿宋_GB2312" w:cs="宋体"/>
          <w:kern w:val="0"/>
          <w:sz w:val="32"/>
          <w:szCs w:val="28"/>
        </w:rPr>
        <w:t>和经费支持，</w:t>
      </w:r>
      <w:r>
        <w:rPr>
          <w:rFonts w:hint="eastAsia" w:ascii="仿宋_GB2312" w:eastAsia="仿宋_GB2312"/>
          <w:sz w:val="32"/>
          <w:szCs w:val="28"/>
        </w:rPr>
        <w:t>提升本科生、研究生创新实践能力和青年教师工程实践能力，促进企业员工知识和技能更新</w:t>
      </w:r>
      <w:bookmarkStart w:id="0" w:name="_Hlk18954505"/>
      <w:r>
        <w:rPr>
          <w:rFonts w:hint="eastAsia" w:ascii="仿宋_GB2312" w:eastAsia="仿宋_GB2312"/>
          <w:sz w:val="32"/>
          <w:szCs w:val="28"/>
          <w:lang w:eastAsia="zh-CN"/>
        </w:rPr>
        <w:t>。</w:t>
      </w:r>
      <w:r>
        <w:rPr>
          <w:rFonts w:hint="eastAsia" w:ascii="仿宋_GB2312" w:hAnsi="黑体" w:eastAsia="仿宋_GB2312" w:cs="仿宋"/>
          <w:sz w:val="32"/>
          <w:szCs w:val="32"/>
          <w:lang w:eastAsia="zh-CN"/>
        </w:rPr>
        <w:t>校企</w:t>
      </w:r>
      <w:r>
        <w:rPr>
          <w:rFonts w:hint="eastAsia" w:ascii="仿宋_GB2312" w:hAnsi="黑体" w:eastAsia="仿宋_GB2312" w:cs="仿宋"/>
          <w:sz w:val="32"/>
          <w:szCs w:val="32"/>
        </w:rPr>
        <w:t>共同制定人才培养方案，</w:t>
      </w:r>
      <w:r>
        <w:rPr>
          <w:rFonts w:hint="eastAsia" w:ascii="仿宋_GB2312" w:hAnsi="宋体" w:eastAsia="仿宋_GB2312" w:cs="宋体"/>
          <w:kern w:val="0"/>
          <w:sz w:val="32"/>
          <w:szCs w:val="28"/>
          <w:lang w:eastAsia="zh-CN"/>
        </w:rPr>
        <w:t>推进</w:t>
      </w:r>
      <w:r>
        <w:rPr>
          <w:rFonts w:hint="eastAsia" w:ascii="仿宋_GB2312" w:hAnsi="宋体" w:eastAsia="仿宋_GB2312" w:cs="宋体"/>
          <w:kern w:val="0"/>
          <w:sz w:val="32"/>
          <w:szCs w:val="28"/>
        </w:rPr>
        <w:t>校企人才双向交流研修，</w:t>
      </w:r>
      <w:r>
        <w:rPr>
          <w:rFonts w:hint="eastAsia" w:ascii="仿宋_GB2312" w:hAnsi="黑体" w:eastAsia="仿宋_GB2312" w:cs="仿宋"/>
          <w:sz w:val="32"/>
          <w:szCs w:val="32"/>
        </w:rPr>
        <w:t>深入实施卓越工程师培养计划，大力加强研究生</w:t>
      </w:r>
      <w:r>
        <w:rPr>
          <w:rFonts w:hint="eastAsia" w:ascii="仿宋_GB2312" w:hAnsi="黑体" w:eastAsia="仿宋_GB2312" w:cs="仿宋"/>
          <w:sz w:val="32"/>
          <w:szCs w:val="32"/>
          <w:lang w:eastAsia="zh-CN"/>
        </w:rPr>
        <w:t>联合</w:t>
      </w:r>
      <w:r>
        <w:rPr>
          <w:rFonts w:hint="eastAsia" w:ascii="仿宋_GB2312" w:hAnsi="黑体" w:eastAsia="仿宋_GB2312" w:cs="仿宋"/>
          <w:sz w:val="32"/>
          <w:szCs w:val="32"/>
        </w:rPr>
        <w:t>培养，积极开展青年教师工程实践</w:t>
      </w:r>
      <w:r>
        <w:rPr>
          <w:rFonts w:hint="eastAsia" w:ascii="仿宋_GB2312" w:hAnsi="黑体" w:eastAsia="仿宋_GB2312" w:cs="仿宋"/>
          <w:sz w:val="32"/>
          <w:szCs w:val="32"/>
          <w:lang w:eastAsia="zh-CN"/>
        </w:rPr>
        <w:t>。积极</w:t>
      </w:r>
      <w:r>
        <w:rPr>
          <w:rFonts w:hint="eastAsia" w:ascii="仿宋_GB2312" w:hAnsi="宋体" w:eastAsia="仿宋_GB2312" w:cs="宋体"/>
          <w:kern w:val="0"/>
          <w:sz w:val="32"/>
          <w:szCs w:val="28"/>
        </w:rPr>
        <w:t>推广“行业教师”“企业导师”聘任制度和“企业游学”育人模式，开发一批</w:t>
      </w:r>
      <w:r>
        <w:rPr>
          <w:rFonts w:hint="eastAsia" w:ascii="仿宋_GB2312" w:hAnsi="宋体" w:eastAsia="仿宋_GB2312" w:cs="宋体"/>
          <w:kern w:val="0"/>
          <w:sz w:val="32"/>
          <w:szCs w:val="28"/>
          <w:lang w:eastAsia="zh-CN"/>
        </w:rPr>
        <w:t>由企业教师为主导的</w:t>
      </w:r>
      <w:r>
        <w:rPr>
          <w:rFonts w:hint="eastAsia" w:ascii="仿宋_GB2312" w:hAnsi="宋体" w:eastAsia="仿宋_GB2312" w:cs="宋体"/>
          <w:kern w:val="0"/>
          <w:sz w:val="32"/>
          <w:szCs w:val="28"/>
        </w:rPr>
        <w:t>“</w:t>
      </w:r>
      <w:r>
        <w:rPr>
          <w:rFonts w:hint="eastAsia" w:ascii="仿宋_GB2312" w:hAnsi="宋体" w:eastAsia="仿宋_GB2312" w:cs="宋体"/>
          <w:kern w:val="0"/>
          <w:sz w:val="32"/>
          <w:szCs w:val="28"/>
          <w:lang w:eastAsia="zh-CN"/>
        </w:rPr>
        <w:t>行业</w:t>
      </w:r>
      <w:r>
        <w:rPr>
          <w:rFonts w:hint="eastAsia" w:ascii="仿宋_GB2312" w:hAnsi="宋体" w:eastAsia="仿宋_GB2312" w:cs="宋体"/>
          <w:kern w:val="0"/>
          <w:sz w:val="32"/>
          <w:szCs w:val="28"/>
        </w:rPr>
        <w:t>精品课程”</w:t>
      </w:r>
      <w:r>
        <w:rPr>
          <w:rFonts w:hint="eastAsia" w:ascii="仿宋_GB2312" w:hAnsi="宋体" w:eastAsia="仿宋_GB2312" w:cs="宋体"/>
          <w:kern w:val="0"/>
          <w:sz w:val="32"/>
          <w:szCs w:val="28"/>
          <w:lang w:val="en-US" w:eastAsia="zh-CN"/>
        </w:rPr>
        <w:t>,</w:t>
      </w:r>
      <w:r>
        <w:rPr>
          <w:rFonts w:hint="eastAsia" w:ascii="仿宋_GB2312" w:hAnsi="宋体" w:eastAsia="仿宋_GB2312" w:cs="宋体"/>
          <w:kern w:val="0"/>
          <w:sz w:val="32"/>
          <w:szCs w:val="28"/>
        </w:rPr>
        <w:t>建设一批优秀“校企示范教学团队”，促进</w:t>
      </w:r>
      <w:r>
        <w:rPr>
          <w:rFonts w:hint="eastAsia" w:ascii="仿宋_GB2312" w:hAnsi="宋体" w:eastAsia="仿宋_GB2312" w:cs="宋体"/>
          <w:kern w:val="0"/>
          <w:sz w:val="32"/>
          <w:szCs w:val="28"/>
          <w:lang w:eastAsia="zh-CN"/>
        </w:rPr>
        <w:t>校企</w:t>
      </w:r>
      <w:r>
        <w:rPr>
          <w:rFonts w:hint="eastAsia" w:ascii="仿宋_GB2312" w:hAnsi="宋体" w:eastAsia="仿宋_GB2312" w:cs="宋体"/>
          <w:kern w:val="0"/>
          <w:sz w:val="32"/>
          <w:szCs w:val="28"/>
        </w:rPr>
        <w:t>共同建立创新创业人才发展体系</w:t>
      </w:r>
      <w:bookmarkStart w:id="1" w:name="_Hlk18954869"/>
      <w:bookmarkEnd w:id="0"/>
      <w:r>
        <w:rPr>
          <w:rFonts w:hint="eastAsia" w:ascii="仿宋_GB2312" w:hAnsi="宋体" w:eastAsia="仿宋_GB2312" w:cs="宋体"/>
          <w:kern w:val="0"/>
          <w:sz w:val="32"/>
          <w:szCs w:val="28"/>
        </w:rPr>
        <w:t>。</w:t>
      </w:r>
    </w:p>
    <w:bookmarkEnd w:id="1"/>
    <w:p>
      <w:pPr>
        <w:wordWrap/>
        <w:spacing w:line="560" w:lineRule="exact"/>
        <w:ind w:left="0" w:leftChars="0" w:right="0" w:firstLine="643" w:firstLineChars="200"/>
        <w:textAlignment w:val="auto"/>
        <w:outlineLvl w:val="9"/>
        <w:rPr>
          <w:rFonts w:ascii="仿宋_GB2312" w:hAnsi="宋体" w:eastAsia="仿宋_GB2312" w:cs="宋体"/>
          <w:kern w:val="0"/>
          <w:sz w:val="32"/>
          <w:szCs w:val="32"/>
        </w:rPr>
      </w:pPr>
      <w:r>
        <w:rPr>
          <w:rFonts w:hint="eastAsia" w:ascii="楷体" w:hAnsi="楷体" w:eastAsia="楷体" w:cs="楷体"/>
          <w:b/>
          <w:kern w:val="0"/>
          <w:sz w:val="32"/>
          <w:szCs w:val="32"/>
        </w:rPr>
        <w:t>（</w:t>
      </w:r>
      <w:r>
        <w:rPr>
          <w:rFonts w:hint="eastAsia" w:ascii="楷体" w:hAnsi="楷体" w:eastAsia="楷体" w:cs="楷体"/>
          <w:b/>
          <w:kern w:val="0"/>
          <w:sz w:val="32"/>
          <w:szCs w:val="32"/>
          <w:lang w:eastAsia="zh-CN"/>
        </w:rPr>
        <w:t>二</w:t>
      </w:r>
      <w:r>
        <w:rPr>
          <w:rFonts w:hint="eastAsia" w:ascii="楷体" w:hAnsi="楷体" w:eastAsia="楷体" w:cs="楷体"/>
          <w:b/>
          <w:kern w:val="0"/>
          <w:sz w:val="32"/>
          <w:szCs w:val="32"/>
        </w:rPr>
        <w:t>）深化人才培养模式改革</w:t>
      </w:r>
      <w:r>
        <w:rPr>
          <w:rFonts w:hint="eastAsia" w:ascii="楷体" w:hAnsi="楷体" w:eastAsia="楷体" w:cs="楷体"/>
          <w:b/>
          <w:kern w:val="0"/>
          <w:sz w:val="32"/>
          <w:szCs w:val="32"/>
          <w:lang w:eastAsia="zh-CN"/>
        </w:rPr>
        <w:t>。</w:t>
      </w:r>
      <w:r>
        <w:rPr>
          <w:rFonts w:hint="eastAsia" w:ascii="仿宋_GB2312" w:hAnsi="仿宋_GB2312" w:eastAsia="仿宋_GB2312" w:cs="宋体"/>
          <w:kern w:val="0"/>
          <w:sz w:val="32"/>
          <w:szCs w:val="32"/>
        </w:rPr>
        <w:t>发挥行业企业</w:t>
      </w:r>
      <w:r>
        <w:rPr>
          <w:rFonts w:hint="eastAsia" w:ascii="仿宋_GB2312" w:hAnsi="仿宋_GB2312" w:eastAsia="仿宋_GB2312" w:cs="宋体"/>
          <w:kern w:val="0"/>
          <w:sz w:val="32"/>
          <w:szCs w:val="32"/>
          <w:lang w:eastAsia="zh-CN"/>
        </w:rPr>
        <w:t>（院所）</w:t>
      </w:r>
      <w:r>
        <w:rPr>
          <w:rFonts w:hint="eastAsia" w:ascii="仿宋_GB2312" w:hAnsi="仿宋_GB2312" w:eastAsia="仿宋_GB2312" w:cs="宋体"/>
          <w:kern w:val="0"/>
          <w:sz w:val="32"/>
          <w:szCs w:val="32"/>
        </w:rPr>
        <w:t>在高校人才培养中的重要作用，</w:t>
      </w:r>
      <w:r>
        <w:rPr>
          <w:rFonts w:hint="eastAsia" w:ascii="仿宋_GB2312" w:hAnsi="黑体" w:eastAsia="仿宋_GB2312" w:cs="仿宋"/>
          <w:sz w:val="32"/>
          <w:szCs w:val="32"/>
        </w:rPr>
        <w:t>建立</w:t>
      </w:r>
      <w:r>
        <w:rPr>
          <w:rFonts w:hint="eastAsia" w:ascii="仿宋_GB2312" w:hAnsi="黑体" w:eastAsia="仿宋_GB2312" w:cs="仿宋"/>
          <w:sz w:val="32"/>
          <w:szCs w:val="32"/>
          <w:lang w:eastAsia="zh-CN"/>
        </w:rPr>
        <w:t>校企</w:t>
      </w:r>
      <w:r>
        <w:rPr>
          <w:rFonts w:hint="eastAsia" w:ascii="仿宋_GB2312" w:hAnsi="黑体" w:eastAsia="仿宋_GB2312" w:cs="仿宋"/>
          <w:sz w:val="32"/>
          <w:szCs w:val="32"/>
        </w:rPr>
        <w:t>战略联盟，促进</w:t>
      </w:r>
      <w:r>
        <w:rPr>
          <w:rFonts w:hint="eastAsia" w:ascii="仿宋_GB2312" w:hAnsi="黑体" w:eastAsia="仿宋_GB2312" w:cs="仿宋"/>
          <w:sz w:val="32"/>
          <w:szCs w:val="32"/>
          <w:lang w:eastAsia="zh-CN"/>
        </w:rPr>
        <w:t>教育</w:t>
      </w:r>
      <w:r>
        <w:rPr>
          <w:rFonts w:hint="eastAsia" w:ascii="仿宋_GB2312" w:hAnsi="黑体" w:eastAsia="仿宋_GB2312" w:cs="仿宋"/>
          <w:sz w:val="32"/>
          <w:szCs w:val="32"/>
        </w:rPr>
        <w:t>资源共享，</w:t>
      </w:r>
      <w:r>
        <w:rPr>
          <w:rFonts w:hint="eastAsia" w:ascii="仿宋_GB2312" w:hAnsi="黑体" w:eastAsia="仿宋_GB2312" w:cs="仿宋"/>
          <w:sz w:val="32"/>
          <w:szCs w:val="32"/>
          <w:lang w:eastAsia="zh-CN"/>
        </w:rPr>
        <w:t>通过产业升级和</w:t>
      </w:r>
      <w:r>
        <w:rPr>
          <w:rFonts w:hint="eastAsia" w:ascii="仿宋_GB2312" w:hAnsi="黑体" w:eastAsia="仿宋_GB2312" w:cs="仿宋"/>
          <w:sz w:val="32"/>
          <w:szCs w:val="32"/>
        </w:rPr>
        <w:t>高水平科学研究</w:t>
      </w:r>
      <w:r>
        <w:rPr>
          <w:rFonts w:hint="eastAsia" w:ascii="仿宋_GB2312" w:hAnsi="黑体" w:eastAsia="仿宋_GB2312" w:cs="仿宋"/>
          <w:sz w:val="32"/>
          <w:szCs w:val="32"/>
          <w:lang w:eastAsia="zh-CN"/>
        </w:rPr>
        <w:t>带动</w:t>
      </w:r>
      <w:r>
        <w:rPr>
          <w:rFonts w:hint="eastAsia" w:ascii="仿宋_GB2312" w:hAnsi="黑体" w:eastAsia="仿宋_GB2312" w:cs="仿宋"/>
          <w:sz w:val="32"/>
          <w:szCs w:val="32"/>
        </w:rPr>
        <w:t>高质量人才培养。</w:t>
      </w:r>
      <w:r>
        <w:rPr>
          <w:rFonts w:hint="eastAsia" w:ascii="仿宋_GB2312" w:hAnsi="仿宋_GB2312" w:eastAsia="仿宋_GB2312" w:cs="宋体"/>
          <w:kern w:val="0"/>
          <w:sz w:val="32"/>
          <w:szCs w:val="32"/>
        </w:rPr>
        <w:t>建立以</w:t>
      </w:r>
      <w:r>
        <w:rPr>
          <w:rFonts w:hint="eastAsia" w:ascii="仿宋_GB2312" w:hAnsi="黑体" w:eastAsia="仿宋_GB2312" w:cs="仿宋"/>
          <w:sz w:val="32"/>
          <w:szCs w:val="32"/>
        </w:rPr>
        <w:t>行业人才需求为导向，以提升企业主动性、积极性为</w:t>
      </w:r>
      <w:r>
        <w:rPr>
          <w:rFonts w:hint="eastAsia" w:ascii="仿宋_GB2312" w:hAnsi="黑体" w:eastAsia="仿宋_GB2312" w:cs="仿宋"/>
          <w:sz w:val="32"/>
          <w:szCs w:val="32"/>
          <w:lang w:eastAsia="zh-CN"/>
        </w:rPr>
        <w:t>着力点</w:t>
      </w:r>
      <w:r>
        <w:rPr>
          <w:rFonts w:hint="eastAsia" w:ascii="仿宋_GB2312" w:hAnsi="仿宋_GB2312" w:eastAsia="仿宋_GB2312" w:cs="宋体"/>
          <w:kern w:val="0"/>
          <w:sz w:val="32"/>
          <w:szCs w:val="32"/>
        </w:rPr>
        <w:t>的校企协同育人模式。全面落实立德树人根本任务，推行校内外导师联合指导的双导师制。加强产学研用协同，以国家重大科技专项或工程为依托，充分发挥高校和企业各自优势，创新联合培养模式，培养造就工程技术领军人才</w:t>
      </w:r>
      <w:r>
        <w:rPr>
          <w:rFonts w:hint="eastAsia" w:ascii="仿宋_GB2312" w:hAnsi="宋体" w:eastAsia="仿宋_GB2312" w:cs="宋体"/>
          <w:kern w:val="0"/>
          <w:sz w:val="32"/>
          <w:szCs w:val="32"/>
        </w:rPr>
        <w:t>。</w:t>
      </w:r>
    </w:p>
    <w:p>
      <w:pPr>
        <w:wordWrap/>
        <w:spacing w:line="560" w:lineRule="exact"/>
        <w:ind w:left="0" w:leftChars="0" w:right="0" w:firstLine="643" w:firstLineChars="200"/>
        <w:textAlignment w:val="auto"/>
        <w:outlineLvl w:val="9"/>
        <w:rPr>
          <w:rFonts w:ascii="仿宋_GB2312" w:eastAsia="仿宋_GB2312"/>
          <w:sz w:val="32"/>
          <w:szCs w:val="28"/>
        </w:rPr>
      </w:pPr>
      <w:r>
        <w:rPr>
          <w:rFonts w:hint="eastAsia" w:ascii="楷体" w:hAnsi="楷体" w:eastAsia="楷体" w:cs="楷体"/>
          <w:b/>
          <w:kern w:val="0"/>
          <w:sz w:val="32"/>
          <w:szCs w:val="32"/>
        </w:rPr>
        <w:t>（三）推进校企协同创新</w:t>
      </w:r>
      <w:r>
        <w:rPr>
          <w:rFonts w:hint="eastAsia" w:ascii="楷体" w:hAnsi="楷体" w:eastAsia="楷体" w:cs="楷体"/>
          <w:b/>
          <w:kern w:val="0"/>
          <w:sz w:val="32"/>
          <w:szCs w:val="32"/>
          <w:lang w:eastAsia="zh-CN"/>
        </w:rPr>
        <w:t>。</w:t>
      </w:r>
      <w:r>
        <w:rPr>
          <w:rFonts w:hint="eastAsia" w:ascii="仿宋_GB2312" w:eastAsia="仿宋_GB2312"/>
          <w:sz w:val="32"/>
          <w:szCs w:val="28"/>
        </w:rPr>
        <w:t>鼓励校企联合承担重大创新任务，成立联合实验室或产学研</w:t>
      </w:r>
      <w:r>
        <w:rPr>
          <w:rFonts w:hint="eastAsia" w:ascii="仿宋_GB2312" w:eastAsia="仿宋_GB2312"/>
          <w:sz w:val="32"/>
          <w:szCs w:val="28"/>
          <w:lang w:eastAsia="zh-CN"/>
        </w:rPr>
        <w:t>用</w:t>
      </w:r>
      <w:r>
        <w:rPr>
          <w:rFonts w:hint="eastAsia" w:ascii="仿宋_GB2312" w:eastAsia="仿宋_GB2312"/>
          <w:sz w:val="32"/>
          <w:szCs w:val="28"/>
        </w:rPr>
        <w:t>协同创新中心，完善成果共享机制，</w:t>
      </w:r>
      <w:r>
        <w:rPr>
          <w:rFonts w:ascii="仿宋_GB2312" w:eastAsia="仿宋_GB2312"/>
          <w:sz w:val="32"/>
          <w:szCs w:val="28"/>
        </w:rPr>
        <w:t>引导高校根据企业需求开展基础研究和应用研究</w:t>
      </w:r>
      <w:r>
        <w:rPr>
          <w:rFonts w:hint="eastAsia" w:ascii="仿宋_GB2312" w:eastAsia="仿宋_GB2312"/>
          <w:sz w:val="32"/>
          <w:szCs w:val="28"/>
        </w:rPr>
        <w:t>，推动高校科研成果产业化。</w:t>
      </w:r>
      <w:r>
        <w:rPr>
          <w:rFonts w:ascii="仿宋_GB2312" w:eastAsia="仿宋_GB2312"/>
          <w:sz w:val="32"/>
          <w:szCs w:val="28"/>
        </w:rPr>
        <w:t>优化配置高校和企业创新资源</w:t>
      </w:r>
      <w:r>
        <w:rPr>
          <w:rFonts w:hint="eastAsia" w:ascii="仿宋_GB2312" w:eastAsia="仿宋_GB2312"/>
          <w:sz w:val="32"/>
          <w:szCs w:val="28"/>
        </w:rPr>
        <w:t>，支持教师、院系层面与企业直接合作，鼓励高校与企业（院所）组建人才培养联盟，发挥</w:t>
      </w:r>
      <w:r>
        <w:rPr>
          <w:rFonts w:ascii="仿宋_GB2312" w:eastAsia="仿宋_GB2312"/>
          <w:sz w:val="32"/>
          <w:szCs w:val="28"/>
        </w:rPr>
        <w:t>校企联合培养</w:t>
      </w:r>
      <w:r>
        <w:rPr>
          <w:rFonts w:hint="eastAsia" w:ascii="仿宋_GB2312" w:eastAsia="仿宋_GB2312"/>
          <w:sz w:val="32"/>
          <w:szCs w:val="28"/>
          <w:lang w:eastAsia="zh-CN"/>
        </w:rPr>
        <w:t>学生</w:t>
      </w:r>
      <w:r>
        <w:rPr>
          <w:rFonts w:hint="eastAsia" w:ascii="仿宋_GB2312" w:eastAsia="仿宋_GB2312"/>
          <w:sz w:val="32"/>
          <w:szCs w:val="28"/>
        </w:rPr>
        <w:t>作为协同</w:t>
      </w:r>
      <w:r>
        <w:rPr>
          <w:rFonts w:ascii="仿宋_GB2312" w:eastAsia="仿宋_GB2312"/>
          <w:sz w:val="32"/>
          <w:szCs w:val="28"/>
        </w:rPr>
        <w:t>创新的桥梁纽带作用</w:t>
      </w:r>
      <w:r>
        <w:rPr>
          <w:rFonts w:hint="eastAsia" w:ascii="仿宋_GB2312" w:eastAsia="仿宋_GB2312"/>
          <w:sz w:val="32"/>
          <w:szCs w:val="28"/>
        </w:rPr>
        <w:t>，</w:t>
      </w:r>
      <w:r>
        <w:rPr>
          <w:rFonts w:ascii="仿宋_GB2312" w:eastAsia="仿宋_GB2312"/>
          <w:sz w:val="32"/>
          <w:szCs w:val="28"/>
        </w:rPr>
        <w:t>探索围绕重大创新任务</w:t>
      </w:r>
      <w:r>
        <w:rPr>
          <w:rFonts w:hint="eastAsia" w:ascii="仿宋_GB2312" w:eastAsia="仿宋_GB2312"/>
          <w:sz w:val="32"/>
          <w:szCs w:val="28"/>
        </w:rPr>
        <w:t>建立</w:t>
      </w:r>
      <w:r>
        <w:rPr>
          <w:rFonts w:ascii="仿宋_GB2312" w:eastAsia="仿宋_GB2312"/>
          <w:sz w:val="32"/>
          <w:szCs w:val="28"/>
        </w:rPr>
        <w:t>创新集群和创新网络</w:t>
      </w:r>
      <w:r>
        <w:rPr>
          <w:rFonts w:hint="eastAsia" w:ascii="仿宋_GB2312" w:eastAsia="仿宋_GB2312"/>
          <w:sz w:val="32"/>
          <w:szCs w:val="28"/>
        </w:rPr>
        <w:t>，推动</w:t>
      </w:r>
      <w:r>
        <w:rPr>
          <w:rFonts w:ascii="仿宋_GB2312" w:eastAsia="仿宋_GB2312"/>
          <w:sz w:val="32"/>
          <w:szCs w:val="28"/>
        </w:rPr>
        <w:t>基础研究和应用研究</w:t>
      </w:r>
      <w:r>
        <w:rPr>
          <w:rFonts w:hint="eastAsia" w:ascii="仿宋_GB2312" w:eastAsia="仿宋_GB2312"/>
          <w:sz w:val="32"/>
          <w:szCs w:val="28"/>
        </w:rPr>
        <w:t>相互促进</w:t>
      </w:r>
      <w:r>
        <w:rPr>
          <w:rFonts w:ascii="仿宋_GB2312" w:eastAsia="仿宋_GB2312"/>
          <w:sz w:val="32"/>
          <w:szCs w:val="28"/>
        </w:rPr>
        <w:t>，以科研</w:t>
      </w:r>
      <w:r>
        <w:rPr>
          <w:rFonts w:hint="eastAsia" w:ascii="仿宋_GB2312" w:eastAsia="仿宋_GB2312"/>
          <w:sz w:val="32"/>
          <w:szCs w:val="28"/>
        </w:rPr>
        <w:t>支撑人才培养和产业转型升级</w:t>
      </w:r>
      <w:r>
        <w:rPr>
          <w:rFonts w:ascii="仿宋_GB2312" w:eastAsia="仿宋_GB2312"/>
          <w:sz w:val="32"/>
          <w:szCs w:val="28"/>
        </w:rPr>
        <w:t>。</w:t>
      </w:r>
    </w:p>
    <w:p>
      <w:pPr>
        <w:wordWrap/>
        <w:spacing w:line="560" w:lineRule="exact"/>
        <w:ind w:left="0" w:leftChars="0" w:right="0" w:firstLine="643" w:firstLineChars="200"/>
        <w:textAlignment w:val="auto"/>
        <w:outlineLvl w:val="9"/>
        <w:rPr>
          <w:rFonts w:ascii="仿宋_GB2312" w:hAnsi="仿宋_GB2312" w:eastAsia="仿宋_GB2312" w:cs="宋体"/>
          <w:kern w:val="0"/>
          <w:sz w:val="32"/>
          <w:szCs w:val="32"/>
        </w:rPr>
      </w:pPr>
      <w:r>
        <w:rPr>
          <w:rFonts w:hint="eastAsia" w:ascii="楷体" w:hAnsi="楷体" w:eastAsia="楷体" w:cs="楷体"/>
          <w:b/>
          <w:kern w:val="0"/>
          <w:sz w:val="32"/>
          <w:szCs w:val="32"/>
        </w:rPr>
        <w:t>（四）健全组织管理和质量保障体系</w:t>
      </w:r>
      <w:r>
        <w:rPr>
          <w:rFonts w:hint="eastAsia" w:ascii="楷体" w:hAnsi="楷体" w:eastAsia="楷体" w:cs="楷体"/>
          <w:b/>
          <w:kern w:val="0"/>
          <w:sz w:val="32"/>
          <w:szCs w:val="32"/>
          <w:lang w:eastAsia="zh-CN"/>
        </w:rPr>
        <w:t>。</w:t>
      </w:r>
      <w:bookmarkStart w:id="2" w:name="_Hlk18954605"/>
      <w:r>
        <w:rPr>
          <w:rFonts w:hint="eastAsia" w:ascii="仿宋_GB2312" w:hAnsi="仿宋_GB2312" w:eastAsia="仿宋_GB2312" w:cs="宋体"/>
          <w:kern w:val="0"/>
          <w:sz w:val="32"/>
          <w:szCs w:val="32"/>
        </w:rPr>
        <w:t>高校</w:t>
      </w:r>
      <w:r>
        <w:rPr>
          <w:rFonts w:hint="eastAsia" w:ascii="仿宋_GB2312" w:eastAsia="仿宋_GB2312"/>
          <w:sz w:val="32"/>
          <w:szCs w:val="28"/>
        </w:rPr>
        <w:t>与</w:t>
      </w:r>
      <w:r>
        <w:rPr>
          <w:rFonts w:hint="eastAsia" w:ascii="仿宋_GB2312" w:hAnsi="仿宋_GB2312" w:eastAsia="仿宋_GB2312" w:cs="宋体"/>
          <w:kern w:val="0"/>
          <w:sz w:val="32"/>
          <w:szCs w:val="32"/>
        </w:rPr>
        <w:t>企业（院所）共同成立</w:t>
      </w:r>
      <w:r>
        <w:rPr>
          <w:rFonts w:hint="eastAsia" w:ascii="仿宋_GB2312" w:hAnsi="仿宋_GB2312" w:eastAsia="仿宋_GB2312"/>
          <w:sz w:val="32"/>
          <w:szCs w:val="32"/>
        </w:rPr>
        <w:t>校企协同育人基地</w:t>
      </w:r>
      <w:r>
        <w:rPr>
          <w:rFonts w:hint="eastAsia" w:ascii="仿宋_GB2312" w:hAnsi="仿宋_GB2312" w:eastAsia="仿宋_GB2312" w:cs="宋体"/>
          <w:kern w:val="0"/>
          <w:sz w:val="32"/>
          <w:szCs w:val="32"/>
        </w:rPr>
        <w:t>建设领导小组，</w:t>
      </w:r>
      <w:bookmarkEnd w:id="2"/>
      <w:r>
        <w:rPr>
          <w:rFonts w:hint="eastAsia" w:ascii="仿宋_GB2312" w:hAnsi="仿宋_GB2312" w:eastAsia="仿宋_GB2312" w:cs="宋体"/>
          <w:kern w:val="0"/>
          <w:sz w:val="32"/>
          <w:szCs w:val="32"/>
        </w:rPr>
        <w:t>制定本科生和研究生实习实践、联合培养、双方教职员工培训挂职交流及日常管理和安全保障等相关规章制度，全面指导基地建设，为提高人才培养质量提供组织保障。结合本科生和研究生培养特点，加强过程管理，建立运行高效的管理模式和开放共享机制，</w:t>
      </w:r>
      <w:r>
        <w:rPr>
          <w:rFonts w:hint="eastAsia" w:ascii="仿宋_GB2312" w:hAnsi="仿宋_GB2312" w:eastAsia="仿宋_GB2312" w:cs="宋体"/>
          <w:kern w:val="0"/>
          <w:sz w:val="32"/>
          <w:szCs w:val="32"/>
          <w:lang w:eastAsia="zh-CN"/>
        </w:rPr>
        <w:t>完善</w:t>
      </w:r>
      <w:r>
        <w:rPr>
          <w:rFonts w:hint="eastAsia" w:ascii="仿宋_GB2312" w:hAnsi="仿宋_GB2312" w:eastAsia="仿宋_GB2312" w:cs="宋体"/>
          <w:kern w:val="0"/>
          <w:sz w:val="32"/>
          <w:szCs w:val="32"/>
        </w:rPr>
        <w:t>质量保障和监督体系，健全高校科技成果转化管理与奖励制度，</w:t>
      </w:r>
      <w:r>
        <w:rPr>
          <w:rFonts w:hint="eastAsia" w:ascii="仿宋_GB2312" w:hAnsi="仿宋_GB2312" w:eastAsia="仿宋_GB2312" w:cs="宋体"/>
          <w:kern w:val="0"/>
          <w:sz w:val="32"/>
          <w:szCs w:val="32"/>
          <w:lang w:eastAsia="zh-CN"/>
        </w:rPr>
        <w:t>落实</w:t>
      </w:r>
      <w:r>
        <w:rPr>
          <w:rFonts w:hint="eastAsia" w:ascii="仿宋_GB2312" w:hAnsi="仿宋_GB2312" w:eastAsia="仿宋_GB2312" w:cs="宋体"/>
          <w:kern w:val="0"/>
          <w:sz w:val="32"/>
          <w:szCs w:val="32"/>
        </w:rPr>
        <w:t>校企协作的跟踪检查和专项督导机制，定期开展自我评估和第三方评估，形成闭环管理体系。</w:t>
      </w:r>
    </w:p>
    <w:p>
      <w:pPr>
        <w:widowControl/>
        <w:wordWrap/>
        <w:adjustRightInd w:val="0"/>
        <w:snapToGrid w:val="0"/>
        <w:spacing w:line="560" w:lineRule="exact"/>
        <w:ind w:left="0" w:leftChars="0" w:right="0" w:firstLine="640" w:firstLineChars="200"/>
        <w:textAlignment w:val="auto"/>
        <w:outlineLvl w:val="9"/>
        <w:rPr>
          <w:rFonts w:ascii="黑体" w:hAnsi="宋体" w:eastAsia="黑体" w:cs="宋体"/>
          <w:kern w:val="0"/>
          <w:sz w:val="32"/>
          <w:szCs w:val="32"/>
        </w:rPr>
      </w:pPr>
      <w:r>
        <w:rPr>
          <w:rFonts w:hint="eastAsia" w:ascii="黑体" w:hAnsi="宋体" w:eastAsia="黑体" w:cs="宋体"/>
          <w:kern w:val="0"/>
          <w:sz w:val="32"/>
          <w:szCs w:val="32"/>
        </w:rPr>
        <w:t>四</w:t>
      </w:r>
      <w:r>
        <w:rPr>
          <w:rFonts w:ascii="黑体" w:hAnsi="宋体" w:eastAsia="黑体" w:cs="宋体"/>
          <w:kern w:val="0"/>
          <w:sz w:val="32"/>
          <w:szCs w:val="32"/>
        </w:rPr>
        <w:t>、</w:t>
      </w:r>
      <w:r>
        <w:rPr>
          <w:rFonts w:hint="eastAsia" w:ascii="黑体" w:hAnsi="宋体" w:eastAsia="黑体" w:cs="宋体"/>
          <w:kern w:val="0"/>
          <w:sz w:val="32"/>
          <w:szCs w:val="32"/>
        </w:rPr>
        <w:t>申报条件</w:t>
      </w:r>
    </w:p>
    <w:p>
      <w:pPr>
        <w:wordWrap/>
        <w:spacing w:line="560" w:lineRule="exact"/>
        <w:ind w:left="0" w:leftChars="0" w:right="0" w:firstLine="600"/>
        <w:textAlignment w:val="auto"/>
        <w:outlineLvl w:val="9"/>
        <w:rPr>
          <w:rFonts w:hint="eastAsia" w:ascii="仿宋_GB2312" w:hAnsi="仿宋_GB2312" w:eastAsia="仿宋_GB2312" w:cs="仿宋_GB2312"/>
          <w:color w:val="000000"/>
          <w:sz w:val="32"/>
          <w:szCs w:val="32"/>
        </w:rPr>
      </w:pPr>
      <w:r>
        <w:rPr>
          <w:rFonts w:hint="eastAsia" w:ascii="楷体" w:hAnsi="楷体" w:eastAsia="楷体" w:cs="楷体"/>
          <w:b/>
          <w:bCs/>
          <w:color w:val="000000"/>
          <w:sz w:val="32"/>
          <w:szCs w:val="32"/>
          <w:lang w:eastAsia="zh-CN"/>
        </w:rPr>
        <w:t>（一）具有较好的协同基础。</w:t>
      </w:r>
      <w:r>
        <w:rPr>
          <w:rFonts w:hint="eastAsia" w:ascii="仿宋_GB2312" w:hAnsi="仿宋_GB2312" w:eastAsia="仿宋_GB2312" w:cs="仿宋_GB2312"/>
          <w:color w:val="000000"/>
          <w:sz w:val="32"/>
          <w:szCs w:val="32"/>
        </w:rPr>
        <w:t>基地</w:t>
      </w:r>
      <w:r>
        <w:rPr>
          <w:rFonts w:hint="eastAsia" w:ascii="仿宋_GB2312" w:hAnsi="仿宋_GB2312" w:eastAsia="仿宋_GB2312" w:cs="仿宋_GB2312"/>
          <w:color w:val="000000"/>
          <w:sz w:val="32"/>
          <w:szCs w:val="32"/>
          <w:lang w:eastAsia="zh-CN"/>
        </w:rPr>
        <w:t>需有校企（院所）联合培养研究生的经验，或参与实施过卓越工程师计划</w:t>
      </w:r>
      <w:r>
        <w:rPr>
          <w:rFonts w:hint="eastAsia" w:ascii="仿宋_GB2312" w:hAnsi="仿宋_GB2312" w:eastAsia="仿宋_GB2312" w:cs="仿宋_GB2312"/>
          <w:color w:val="000000"/>
          <w:sz w:val="32"/>
          <w:szCs w:val="32"/>
        </w:rPr>
        <w:t>。申请企业（院所）应具备一定规模，</w:t>
      </w:r>
      <w:r>
        <w:rPr>
          <w:rFonts w:hint="eastAsia" w:ascii="仿宋_GB2312" w:hAnsi="仿宋_GB2312" w:eastAsia="仿宋_GB2312" w:cs="仿宋_GB2312"/>
          <w:color w:val="000000"/>
          <w:sz w:val="32"/>
          <w:szCs w:val="32"/>
          <w:lang w:val="en-US" w:eastAsia="zh-CN"/>
        </w:rPr>
        <w:t>有较强的科技创新能力和明确的研发主攻方向，</w:t>
      </w:r>
      <w:r>
        <w:rPr>
          <w:rFonts w:hint="eastAsia" w:ascii="仿宋_GB2312" w:hAnsi="仿宋_GB2312" w:eastAsia="仿宋_GB2312" w:cs="仿宋_GB2312"/>
          <w:color w:val="000000"/>
          <w:sz w:val="32"/>
          <w:szCs w:val="32"/>
        </w:rPr>
        <w:t>具备研究指导能力，能够为校企联合培养、全方位协同育人提供有力支撑。能提供与高校人才培育相匹配的技术路线和实践方案，能够提供满足本科生、研究生、青年教师和企业员工培养需要的工程实践项目及课程、科研课题、工程现场、实验条件、生活保障等条件。</w:t>
      </w:r>
    </w:p>
    <w:p>
      <w:pPr>
        <w:wordWrap/>
        <w:spacing w:line="560" w:lineRule="exact"/>
        <w:ind w:left="0" w:leftChars="0" w:right="0" w:firstLine="0"/>
        <w:textAlignment w:val="auto"/>
        <w:outlineLvl w:val="9"/>
        <w:rPr>
          <w:rFonts w:hint="eastAsia" w:ascii="仿宋_GB2312" w:hAnsi="仿宋_GB2312" w:eastAsia="仿宋_GB2312" w:cs="仿宋_GB2312"/>
          <w:color w:val="000000"/>
          <w:sz w:val="32"/>
          <w:szCs w:val="32"/>
        </w:rPr>
      </w:pPr>
      <w:bookmarkStart w:id="3" w:name="_Hlk18954989"/>
      <w:r>
        <w:rPr>
          <w:rFonts w:hint="eastAsia" w:ascii="仿宋_GB2312" w:hAnsi="仿宋_GB2312" w:eastAsia="仿宋_GB2312" w:cs="仿宋_GB2312"/>
          <w:color w:val="000000"/>
          <w:sz w:val="32"/>
          <w:szCs w:val="32"/>
          <w:lang w:val="en-US" w:eastAsia="zh-CN"/>
        </w:rPr>
        <w:t xml:space="preserve">   </w:t>
      </w:r>
      <w:r>
        <w:rPr>
          <w:rFonts w:hint="eastAsia" w:ascii="楷体" w:hAnsi="楷体" w:eastAsia="楷体" w:cs="楷体"/>
          <w:b/>
          <w:bCs/>
          <w:color w:val="000000"/>
          <w:sz w:val="32"/>
          <w:szCs w:val="32"/>
          <w:lang w:eastAsia="zh-CN"/>
        </w:rPr>
        <w:t>（二）具有较完善的协同平台体系。</w:t>
      </w:r>
      <w:r>
        <w:rPr>
          <w:rFonts w:hint="eastAsia" w:ascii="仿宋_GB2312" w:hAnsi="仿宋_GB2312" w:eastAsia="仿宋_GB2312" w:cs="仿宋_GB2312"/>
          <w:color w:val="000000"/>
          <w:sz w:val="32"/>
          <w:szCs w:val="32"/>
        </w:rPr>
        <w:t>基地能构建校企协同育人平台，实现校企合作协议签订、人才培养方案制定、校企人才双向交流研修机制建立等</w:t>
      </w:r>
      <w:r>
        <w:rPr>
          <w:rFonts w:hint="eastAsia" w:ascii="仿宋_GB2312" w:hAnsi="仿宋_GB2312" w:eastAsia="仿宋_GB2312" w:cs="仿宋_GB2312"/>
          <w:color w:val="000000"/>
          <w:sz w:val="32"/>
          <w:szCs w:val="32"/>
          <w:lang w:eastAsia="zh-CN"/>
        </w:rPr>
        <w:t>。能</w:t>
      </w:r>
      <w:r>
        <w:rPr>
          <w:rFonts w:hint="eastAsia" w:ascii="仿宋_GB2312" w:hAnsi="仿宋_GB2312" w:eastAsia="仿宋_GB2312" w:cs="仿宋_GB2312"/>
          <w:color w:val="000000"/>
          <w:sz w:val="32"/>
          <w:szCs w:val="32"/>
        </w:rPr>
        <w:t>深入实施卓越工程师培养计划，大力加强研究生</w:t>
      </w:r>
      <w:r>
        <w:rPr>
          <w:rFonts w:hint="eastAsia" w:ascii="仿宋_GB2312" w:hAnsi="仿宋_GB2312" w:eastAsia="仿宋_GB2312" w:cs="仿宋_GB2312"/>
          <w:color w:val="000000"/>
          <w:sz w:val="32"/>
          <w:szCs w:val="32"/>
          <w:lang w:eastAsia="zh-CN"/>
        </w:rPr>
        <w:t>联合</w:t>
      </w:r>
      <w:r>
        <w:rPr>
          <w:rFonts w:hint="eastAsia" w:ascii="仿宋_GB2312" w:hAnsi="仿宋_GB2312" w:eastAsia="仿宋_GB2312" w:cs="仿宋_GB2312"/>
          <w:color w:val="000000"/>
          <w:sz w:val="32"/>
          <w:szCs w:val="32"/>
        </w:rPr>
        <w:t>培养，积极开展青年教师工程实践，促进高校与企业（院所）共同建立创新创业人才发展体系。具有一支能够满足本科生、研究生培养需要，具备较高学术水平和丰富实践经验的双导师队伍，其中企业导师占导师队伍的比例不低于1/3；具备完善的师资培训与管理制度。</w:t>
      </w:r>
    </w:p>
    <w:bookmarkEnd w:id="3"/>
    <w:p>
      <w:pPr>
        <w:wordWrap/>
        <w:spacing w:line="560" w:lineRule="exact"/>
        <w:ind w:left="0" w:leftChars="0" w:right="0" w:firstLine="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楷体" w:hAnsi="楷体" w:eastAsia="楷体" w:cs="楷体"/>
          <w:b/>
          <w:bCs/>
          <w:color w:val="000000"/>
          <w:sz w:val="32"/>
          <w:szCs w:val="32"/>
          <w:lang w:eastAsia="zh-CN"/>
        </w:rPr>
        <w:t>（三）能够聚集优质教育资源。</w:t>
      </w:r>
      <w:r>
        <w:rPr>
          <w:rFonts w:hint="eastAsia" w:ascii="仿宋_GB2312" w:hAnsi="仿宋_GB2312" w:eastAsia="仿宋_GB2312" w:cs="仿宋_GB2312"/>
          <w:color w:val="000000"/>
          <w:sz w:val="32"/>
          <w:szCs w:val="32"/>
        </w:rPr>
        <w:t>基地能充分利用高校和合作单位双方的优质资源联合培养本科生、研究生，形成紧密和稳定的产学研合作，实现高校、合作单位及师生多方共赢。能积极推广“行业教师”“企业导师”聘任制度和“企业游学”育人模式，建设一批“精品企业课程”和一批优秀“校企示范教学团队”，推进校企协同育人各项工作深入开展。</w:t>
      </w:r>
    </w:p>
    <w:p>
      <w:pPr>
        <w:widowControl w:val="0"/>
        <w:wordWrap/>
        <w:adjustRightInd/>
        <w:snapToGrid/>
        <w:spacing w:line="560" w:lineRule="exact"/>
        <w:ind w:left="0" w:leftChars="0" w:right="0" w:firstLine="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楷体" w:hAnsi="楷体" w:eastAsia="楷体" w:cs="楷体"/>
          <w:b/>
          <w:bCs/>
          <w:color w:val="000000"/>
          <w:sz w:val="32"/>
          <w:szCs w:val="32"/>
          <w:lang w:eastAsia="zh-CN"/>
        </w:rPr>
        <w:t>（四）已取得较好工作成效。</w:t>
      </w:r>
      <w:r>
        <w:rPr>
          <w:rFonts w:hint="eastAsia" w:ascii="仿宋_GB2312" w:hAnsi="仿宋_GB2312" w:eastAsia="仿宋_GB2312" w:cs="仿宋_GB2312"/>
          <w:color w:val="000000"/>
          <w:sz w:val="32"/>
          <w:szCs w:val="32"/>
        </w:rPr>
        <w:t>该基地在培养模式方面具有符合行业、领域人才培养要求的优势特色；在基地建设、联合培养、导师管理、学生管理、合作交流、挂职锻炼、质量评估等方面具有较完善的规章制度。已具有</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年以上的校企协同育人基础，思路明确，方案可行，培养出的本科生、研究生在就业竞争力和职业胜任力等方面具有突出表现。</w:t>
      </w:r>
    </w:p>
    <w:p>
      <w:pPr>
        <w:widowControl/>
        <w:wordWrap/>
        <w:adjustRightInd w:val="0"/>
        <w:snapToGrid w:val="0"/>
        <w:spacing w:line="560" w:lineRule="exact"/>
        <w:ind w:left="0" w:leftChars="0" w:right="0" w:firstLine="588"/>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各申报单位要综合考虑学科专业布局，以协同质量和实际成效为标准，突出基地的示范效应，成熟一个申报一个，审慎提出</w:t>
      </w:r>
      <w:r>
        <w:rPr>
          <w:rFonts w:hint="eastAsia" w:ascii="仿宋_GB2312" w:hAnsi="仿宋_GB2312" w:eastAsia="仿宋_GB2312" w:cs="仿宋_GB2312"/>
          <w:kern w:val="0"/>
          <w:sz w:val="32"/>
          <w:szCs w:val="32"/>
        </w:rPr>
        <w:t>申报</w:t>
      </w:r>
      <w:r>
        <w:rPr>
          <w:rFonts w:hint="eastAsia" w:ascii="仿宋_GB2312" w:hAnsi="仿宋_GB2312" w:eastAsia="仿宋_GB2312" w:cs="仿宋_GB2312"/>
          <w:kern w:val="0"/>
          <w:sz w:val="32"/>
          <w:szCs w:val="32"/>
          <w:lang w:eastAsia="zh-CN"/>
        </w:rPr>
        <w:t>数量</w:t>
      </w:r>
      <w:r>
        <w:rPr>
          <w:rFonts w:hint="eastAsia" w:ascii="仿宋_GB2312" w:hAnsi="仿宋_GB2312" w:eastAsia="仿宋_GB2312" w:cs="仿宋_GB2312"/>
          <w:kern w:val="0"/>
          <w:sz w:val="32"/>
          <w:szCs w:val="32"/>
        </w:rPr>
        <w:t>。</w:t>
      </w:r>
    </w:p>
    <w:p>
      <w:pPr>
        <w:widowControl/>
        <w:wordWrap/>
        <w:adjustRightInd w:val="0"/>
        <w:snapToGrid w:val="0"/>
        <w:spacing w:line="560" w:lineRule="exact"/>
        <w:ind w:left="0" w:leftChars="0" w:right="0" w:firstLine="640" w:firstLineChars="200"/>
        <w:textAlignment w:val="auto"/>
        <w:outlineLvl w:val="9"/>
        <w:rPr>
          <w:rFonts w:ascii="黑体" w:hAnsi="宋体" w:eastAsia="黑体" w:cs="宋体"/>
          <w:kern w:val="0"/>
          <w:sz w:val="32"/>
          <w:szCs w:val="32"/>
        </w:rPr>
      </w:pPr>
      <w:r>
        <w:rPr>
          <w:rFonts w:hint="eastAsia" w:ascii="黑体" w:hAnsi="宋体" w:eastAsia="黑体" w:cs="宋体"/>
          <w:kern w:val="0"/>
          <w:sz w:val="32"/>
          <w:szCs w:val="32"/>
          <w:lang w:eastAsia="zh-CN"/>
        </w:rPr>
        <w:t>五</w:t>
      </w:r>
      <w:r>
        <w:rPr>
          <w:rFonts w:hint="eastAsia" w:ascii="黑体" w:hAnsi="宋体" w:eastAsia="黑体" w:cs="宋体"/>
          <w:kern w:val="0"/>
          <w:sz w:val="32"/>
          <w:szCs w:val="32"/>
        </w:rPr>
        <w:t>、</w:t>
      </w:r>
      <w:r>
        <w:rPr>
          <w:rFonts w:hint="eastAsia" w:ascii="黑体" w:hAnsi="宋体" w:eastAsia="黑体" w:cs="宋体"/>
          <w:kern w:val="0"/>
          <w:sz w:val="32"/>
          <w:szCs w:val="32"/>
          <w:lang w:eastAsia="zh-CN"/>
        </w:rPr>
        <w:t>组织实施</w:t>
      </w:r>
    </w:p>
    <w:p>
      <w:pPr>
        <w:widowControl/>
        <w:wordWrap/>
        <w:adjustRightInd w:val="0"/>
        <w:snapToGrid w:val="0"/>
        <w:spacing w:line="560" w:lineRule="exact"/>
        <w:ind w:left="0" w:leftChars="0" w:right="0" w:firstLine="640" w:firstLineChars="200"/>
        <w:jc w:val="left"/>
        <w:textAlignment w:val="auto"/>
        <w:outlineLvl w:val="9"/>
        <w:rPr>
          <w:rFonts w:hint="eastAsia" w:ascii="黑体" w:hAnsi="宋体" w:eastAsia="黑体" w:cs="宋体"/>
          <w:kern w:val="0"/>
          <w:sz w:val="32"/>
          <w:szCs w:val="32"/>
        </w:rPr>
      </w:pPr>
      <w:r>
        <w:rPr>
          <w:rFonts w:hint="eastAsia" w:ascii="仿宋_GB2312" w:hAnsi="宋体" w:eastAsia="仿宋_GB2312" w:cs="宋体"/>
          <w:kern w:val="0"/>
          <w:sz w:val="32"/>
          <w:szCs w:val="32"/>
          <w:lang w:eastAsia="zh-CN"/>
        </w:rPr>
        <w:t>部人事教育司具体负责</w:t>
      </w:r>
      <w:r>
        <w:rPr>
          <w:rFonts w:hint="eastAsia" w:ascii="仿宋_GB2312" w:hAnsi="宋体" w:eastAsia="仿宋_GB2312" w:cs="宋体"/>
          <w:color w:val="auto"/>
          <w:kern w:val="0"/>
          <w:sz w:val="32"/>
          <w:szCs w:val="32"/>
          <w:lang w:eastAsia="zh-CN"/>
        </w:rPr>
        <w:t>基地的认定组织工作，协调有关单位做好基地的建设和管理工作。</w:t>
      </w:r>
    </w:p>
    <w:p>
      <w:pPr>
        <w:widowControl/>
        <w:wordWrap/>
        <w:adjustRightInd w:val="0"/>
        <w:snapToGrid w:val="0"/>
        <w:spacing w:line="560" w:lineRule="exact"/>
        <w:ind w:left="0" w:leftChars="0" w:right="0" w:firstLine="640" w:firstLineChars="200"/>
        <w:jc w:val="left"/>
        <w:textAlignment w:val="auto"/>
        <w:outlineLvl w:val="9"/>
        <w:rPr>
          <w:rFonts w:ascii="仿宋_GB2312" w:hAnsi="宋体" w:eastAsia="仿宋_GB2312" w:cs="宋体"/>
          <w:kern w:val="0"/>
          <w:sz w:val="32"/>
          <w:szCs w:val="32"/>
        </w:rPr>
      </w:pPr>
      <w:r>
        <w:rPr>
          <w:rFonts w:hint="eastAsia" w:ascii="楷体" w:hAnsi="楷体" w:eastAsia="楷体" w:cs="楷体"/>
          <w:b/>
          <w:bCs/>
          <w:color w:val="000000"/>
          <w:sz w:val="32"/>
          <w:szCs w:val="32"/>
          <w:lang w:eastAsia="zh-CN"/>
        </w:rPr>
        <w:t>（一）高校申报。</w:t>
      </w:r>
      <w:r>
        <w:rPr>
          <w:rFonts w:hint="eastAsia" w:ascii="仿宋_GB2312" w:hAnsi="宋体" w:eastAsia="仿宋_GB2312" w:cs="宋体"/>
          <w:kern w:val="0"/>
          <w:sz w:val="32"/>
          <w:szCs w:val="32"/>
        </w:rPr>
        <w:t>符合申报条件的高校，根据主要任务、申报条件提出申请，提交《工业和信息化部</w:t>
      </w:r>
      <w:r>
        <w:rPr>
          <w:rFonts w:hint="eastAsia" w:ascii="仿宋_GB2312" w:hAnsi="仿宋_GB2312" w:eastAsia="仿宋_GB2312"/>
          <w:sz w:val="32"/>
          <w:szCs w:val="32"/>
        </w:rPr>
        <w:t>校企协同育人示范基地</w:t>
      </w:r>
      <w:r>
        <w:rPr>
          <w:rFonts w:hint="eastAsia" w:ascii="仿宋_GB2312" w:hAnsi="宋体" w:eastAsia="仿宋_GB2312" w:cs="宋体"/>
          <w:kern w:val="0"/>
          <w:sz w:val="32"/>
          <w:szCs w:val="32"/>
        </w:rPr>
        <w:t>建设申请书》。</w:t>
      </w:r>
    </w:p>
    <w:p>
      <w:pPr>
        <w:widowControl/>
        <w:wordWrap/>
        <w:adjustRightInd w:val="0"/>
        <w:snapToGrid w:val="0"/>
        <w:spacing w:line="560" w:lineRule="exact"/>
        <w:ind w:left="0" w:leftChars="0" w:right="0" w:firstLine="640" w:firstLineChars="200"/>
        <w:jc w:val="left"/>
        <w:textAlignment w:val="auto"/>
        <w:outlineLvl w:val="9"/>
        <w:rPr>
          <w:rFonts w:ascii="仿宋_GB2312" w:hAnsi="宋体" w:eastAsia="仿宋_GB2312" w:cs="宋体"/>
          <w:kern w:val="0"/>
          <w:sz w:val="32"/>
          <w:szCs w:val="32"/>
        </w:rPr>
      </w:pPr>
      <w:r>
        <w:rPr>
          <w:rFonts w:hint="eastAsia" w:ascii="楷体" w:hAnsi="楷体" w:eastAsia="楷体" w:cs="楷体"/>
          <w:b/>
          <w:bCs/>
          <w:color w:val="000000"/>
          <w:sz w:val="32"/>
          <w:szCs w:val="32"/>
          <w:lang w:eastAsia="zh-CN"/>
        </w:rPr>
        <w:t>（二）评审考察。</w:t>
      </w:r>
      <w:r>
        <w:rPr>
          <w:rFonts w:hint="eastAsia" w:ascii="仿宋_GB2312" w:hAnsi="宋体" w:eastAsia="仿宋_GB2312" w:cs="宋体"/>
          <w:kern w:val="0"/>
          <w:sz w:val="32"/>
          <w:szCs w:val="32"/>
        </w:rPr>
        <w:t>部委托有关专家，根据申报基本条件及建设规划进行评审。必要时进行实地考察。严格规范评审考察程序，确保公平公正公开。</w:t>
      </w:r>
    </w:p>
    <w:p>
      <w:pPr>
        <w:widowControl/>
        <w:wordWrap/>
        <w:adjustRightInd w:val="0"/>
        <w:snapToGrid w:val="0"/>
        <w:spacing w:line="560" w:lineRule="exact"/>
        <w:ind w:left="0" w:leftChars="0" w:right="0" w:firstLine="640" w:firstLineChars="200"/>
        <w:jc w:val="left"/>
        <w:textAlignment w:val="auto"/>
        <w:outlineLvl w:val="9"/>
        <w:rPr>
          <w:rFonts w:hint="eastAsia" w:ascii="仿宋_GB2312" w:hAnsi="宋体" w:eastAsia="仿宋_GB2312" w:cs="宋体"/>
          <w:kern w:val="0"/>
          <w:sz w:val="32"/>
          <w:szCs w:val="32"/>
          <w:lang w:eastAsia="zh-CN"/>
        </w:rPr>
      </w:pPr>
      <w:r>
        <w:rPr>
          <w:rFonts w:hint="eastAsia" w:ascii="楷体" w:hAnsi="楷体" w:eastAsia="楷体" w:cs="楷体"/>
          <w:b/>
          <w:bCs/>
          <w:color w:val="000000"/>
          <w:sz w:val="32"/>
          <w:szCs w:val="32"/>
          <w:lang w:eastAsia="zh-CN"/>
        </w:rPr>
        <w:t>（三）公示确认。</w:t>
      </w:r>
      <w:r>
        <w:rPr>
          <w:rFonts w:hint="eastAsia" w:ascii="仿宋_GB2312" w:hAnsi="宋体" w:eastAsia="仿宋_GB2312" w:cs="宋体"/>
          <w:kern w:val="0"/>
          <w:sz w:val="32"/>
          <w:szCs w:val="32"/>
        </w:rPr>
        <w:t>在部官网上公示通过评审的候选单位。公示</w:t>
      </w:r>
      <w:r>
        <w:rPr>
          <w:rFonts w:hint="eastAsia" w:ascii="仿宋_GB2312" w:hAnsi="宋体" w:eastAsia="仿宋_GB2312" w:cs="宋体"/>
          <w:kern w:val="0"/>
          <w:sz w:val="32"/>
          <w:szCs w:val="32"/>
          <w:lang w:eastAsia="zh-CN"/>
        </w:rPr>
        <w:t>无异议并经部审核后，印发认定通知。</w:t>
      </w:r>
    </w:p>
    <w:p>
      <w:pPr>
        <w:widowControl/>
        <w:wordWrap/>
        <w:adjustRightInd w:val="0"/>
        <w:snapToGrid w:val="0"/>
        <w:spacing w:line="560" w:lineRule="exact"/>
        <w:ind w:left="0" w:leftChars="0" w:right="0" w:firstLine="640" w:firstLineChars="200"/>
        <w:jc w:val="left"/>
        <w:textAlignment w:val="auto"/>
        <w:outlineLvl w:val="9"/>
        <w:rPr>
          <w:rFonts w:ascii="仿宋_GB2312" w:hAnsi="宋体" w:eastAsia="仿宋_GB2312" w:cs="宋体"/>
          <w:kern w:val="0"/>
          <w:sz w:val="32"/>
          <w:szCs w:val="32"/>
        </w:rPr>
      </w:pPr>
      <w:r>
        <w:rPr>
          <w:rFonts w:hint="eastAsia" w:ascii="黑体" w:hAnsi="宋体" w:eastAsia="黑体" w:cs="宋体"/>
          <w:kern w:val="0"/>
          <w:sz w:val="32"/>
          <w:szCs w:val="32"/>
          <w:lang w:eastAsia="zh-CN"/>
        </w:rPr>
        <w:t>六</w:t>
      </w:r>
      <w:r>
        <w:rPr>
          <w:rFonts w:hint="eastAsia" w:ascii="黑体" w:hAnsi="宋体" w:eastAsia="黑体" w:cs="宋体"/>
          <w:kern w:val="0"/>
          <w:sz w:val="32"/>
          <w:szCs w:val="32"/>
        </w:rPr>
        <w:t>、保障管理</w:t>
      </w:r>
    </w:p>
    <w:p>
      <w:pPr>
        <w:widowControl w:val="0"/>
        <w:wordWrap/>
        <w:adjustRightInd w:val="0"/>
        <w:snapToGrid w:val="0"/>
        <w:spacing w:line="560" w:lineRule="exact"/>
        <w:ind w:left="0" w:leftChars="0" w:right="0" w:firstLine="640" w:firstLineChars="200"/>
        <w:jc w:val="left"/>
        <w:textAlignment w:val="auto"/>
        <w:outlineLvl w:val="9"/>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部</w:t>
      </w:r>
      <w:r>
        <w:rPr>
          <w:rFonts w:hint="eastAsia" w:ascii="仿宋_GB2312" w:hAnsi="宋体" w:eastAsia="仿宋_GB2312" w:cs="宋体"/>
          <w:kern w:val="0"/>
          <w:sz w:val="32"/>
          <w:szCs w:val="32"/>
          <w:lang w:eastAsia="zh-CN"/>
        </w:rPr>
        <w:t>将积极协调有关资源</w:t>
      </w:r>
      <w:r>
        <w:rPr>
          <w:rFonts w:hint="eastAsia" w:ascii="仿宋_GB2312" w:hAnsi="宋体" w:eastAsia="仿宋_GB2312" w:cs="宋体"/>
          <w:kern w:val="0"/>
          <w:sz w:val="32"/>
          <w:szCs w:val="32"/>
        </w:rPr>
        <w:t>对校企协同育人基地在政策</w:t>
      </w:r>
      <w:r>
        <w:rPr>
          <w:rFonts w:ascii="仿宋_GB2312" w:hAnsi="宋体" w:eastAsia="仿宋_GB2312" w:cs="宋体"/>
          <w:kern w:val="0"/>
          <w:sz w:val="32"/>
          <w:szCs w:val="32"/>
        </w:rPr>
        <w:t>、</w:t>
      </w:r>
      <w:r>
        <w:rPr>
          <w:rFonts w:hint="eastAsia" w:ascii="仿宋_GB2312" w:hAnsi="宋体" w:eastAsia="仿宋_GB2312" w:cs="宋体"/>
          <w:kern w:val="0"/>
          <w:sz w:val="32"/>
          <w:szCs w:val="32"/>
        </w:rPr>
        <w:t>招生等方面予以支持</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围绕基地建设规划，通过建立年度计划及总结、周期报告及评估（以</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年为一个周期）制度等，加强基地建设和过程管理，实行激励和退出机制。</w:t>
      </w:r>
    </w:p>
    <w:p>
      <w:pPr>
        <w:widowControl w:val="0"/>
        <w:wordWrap/>
        <w:adjustRightInd w:val="0"/>
        <w:snapToGrid w:val="0"/>
        <w:spacing w:line="560" w:lineRule="exact"/>
        <w:ind w:left="0" w:leftChars="0" w:right="0" w:firstLine="480" w:firstLineChars="150"/>
        <w:jc w:val="left"/>
        <w:textAlignment w:val="auto"/>
        <w:outlineLvl w:val="9"/>
        <w:rPr>
          <w:rFonts w:hint="eastAsia" w:ascii="黑体" w:hAnsi="宋体" w:eastAsia="黑体" w:cs="宋体"/>
          <w:kern w:val="0"/>
          <w:sz w:val="32"/>
          <w:szCs w:val="32"/>
          <w:lang w:eastAsia="zh-CN"/>
        </w:rPr>
      </w:pPr>
      <w:r>
        <w:rPr>
          <w:rFonts w:hint="eastAsia" w:ascii="黑体" w:hAnsi="宋体" w:eastAsia="黑体" w:cs="宋体"/>
          <w:kern w:val="0"/>
          <w:sz w:val="32"/>
          <w:szCs w:val="32"/>
          <w:lang w:val="en-US" w:eastAsia="zh-CN"/>
        </w:rPr>
        <w:t xml:space="preserve"> </w:t>
      </w:r>
      <w:r>
        <w:rPr>
          <w:rFonts w:hint="eastAsia" w:ascii="黑体" w:hAnsi="宋体" w:eastAsia="黑体" w:cs="宋体"/>
          <w:kern w:val="0"/>
          <w:sz w:val="32"/>
          <w:szCs w:val="32"/>
          <w:lang w:eastAsia="zh-CN"/>
        </w:rPr>
        <w:t>七、</w:t>
      </w:r>
      <w:r>
        <w:rPr>
          <w:rFonts w:hint="eastAsia" w:ascii="黑体" w:hAnsi="宋体" w:eastAsia="黑体" w:cs="宋体"/>
          <w:kern w:val="0"/>
          <w:sz w:val="32"/>
          <w:szCs w:val="32"/>
        </w:rPr>
        <w:t>申报</w:t>
      </w:r>
      <w:r>
        <w:rPr>
          <w:rFonts w:hint="eastAsia" w:ascii="黑体" w:hAnsi="宋体" w:eastAsia="黑体" w:cs="宋体"/>
          <w:kern w:val="0"/>
          <w:sz w:val="32"/>
          <w:szCs w:val="32"/>
          <w:lang w:eastAsia="zh-CN"/>
        </w:rPr>
        <w:t>事宜</w:t>
      </w:r>
      <w:bookmarkStart w:id="4" w:name="OLE_LINK3"/>
      <w:bookmarkStart w:id="5" w:name="OLE_LINK4"/>
    </w:p>
    <w:p>
      <w:pPr>
        <w:widowControl w:val="0"/>
        <w:wordWrap/>
        <w:adjustRightInd w:val="0"/>
        <w:snapToGrid w:val="0"/>
        <w:spacing w:line="560" w:lineRule="exact"/>
        <w:ind w:left="0" w:leftChars="0" w:right="0"/>
        <w:jc w:val="left"/>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各申请单位于2019年1</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30</w:t>
      </w:r>
      <w:r>
        <w:rPr>
          <w:rFonts w:hint="eastAsia" w:ascii="仿宋_GB2312" w:hAnsi="宋体" w:eastAsia="仿宋_GB2312" w:cs="宋体"/>
          <w:kern w:val="0"/>
          <w:sz w:val="32"/>
          <w:szCs w:val="32"/>
        </w:rPr>
        <w:t>日前将附件《工业和信息化部</w:t>
      </w:r>
      <w:r>
        <w:rPr>
          <w:rFonts w:hint="eastAsia" w:ascii="仿宋_GB2312" w:hAnsi="仿宋_GB2312" w:eastAsia="仿宋_GB2312"/>
          <w:sz w:val="32"/>
          <w:szCs w:val="32"/>
        </w:rPr>
        <w:t>校企协同育人示范基地</w:t>
      </w:r>
      <w:r>
        <w:rPr>
          <w:rFonts w:hint="eastAsia" w:ascii="仿宋_GB2312" w:hAnsi="宋体" w:eastAsia="仿宋_GB2312" w:cs="宋体"/>
          <w:kern w:val="0"/>
          <w:sz w:val="32"/>
          <w:szCs w:val="32"/>
        </w:rPr>
        <w:t>建设申请书》及相关佐证材料（一式五份）寄送至人事教育司教育处，同时发送相应电子稿。</w:t>
      </w:r>
    </w:p>
    <w:bookmarkEnd w:id="4"/>
    <w:bookmarkEnd w:id="5"/>
    <w:p>
      <w:pPr>
        <w:widowControl w:val="0"/>
        <w:wordWrap/>
        <w:adjustRightInd w:val="0"/>
        <w:snapToGrid w:val="0"/>
        <w:spacing w:line="560" w:lineRule="exact"/>
        <w:ind w:left="0" w:leftChars="0" w:right="0" w:firstLine="588"/>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联 系 人：万建</w:t>
      </w:r>
    </w:p>
    <w:p>
      <w:pPr>
        <w:widowControl w:val="0"/>
        <w:wordWrap/>
        <w:adjustRightInd w:val="0"/>
        <w:snapToGrid w:val="0"/>
        <w:spacing w:line="560" w:lineRule="exact"/>
        <w:ind w:left="0" w:leftChars="0" w:right="0" w:firstLine="588"/>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联系电话：010-68205913；13936304001</w:t>
      </w:r>
    </w:p>
    <w:p>
      <w:pPr>
        <w:widowControl w:val="0"/>
        <w:wordWrap/>
        <w:adjustRightInd w:val="0"/>
        <w:snapToGrid w:val="0"/>
        <w:spacing w:line="560" w:lineRule="exact"/>
        <w:ind w:left="0" w:leftChars="0" w:right="0" w:firstLine="588"/>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传    真：010-68205917</w:t>
      </w:r>
    </w:p>
    <w:p>
      <w:pPr>
        <w:widowControl w:val="0"/>
        <w:wordWrap/>
        <w:adjustRightInd w:val="0"/>
        <w:snapToGrid w:val="0"/>
        <w:spacing w:line="560" w:lineRule="exact"/>
        <w:ind w:left="0" w:leftChars="0" w:right="0" w:firstLine="588"/>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电子信箱：wanjian@miit.gov.cn</w:t>
      </w:r>
    </w:p>
    <w:p>
      <w:pPr>
        <w:widowControl w:val="0"/>
        <w:wordWrap/>
        <w:adjustRightInd w:val="0"/>
        <w:snapToGrid w:val="0"/>
        <w:spacing w:line="560" w:lineRule="exact"/>
        <w:ind w:left="0" w:leftChars="0" w:right="0" w:firstLine="588"/>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通讯地址：北京西长安街13号</w:t>
      </w:r>
    </w:p>
    <w:p>
      <w:pPr>
        <w:widowControl w:val="0"/>
        <w:wordWrap/>
        <w:adjustRightInd w:val="0"/>
        <w:snapToGrid w:val="0"/>
        <w:spacing w:beforeLines="0" w:afterLines="0" w:line="560" w:lineRule="exact"/>
        <w:ind w:left="0" w:leftChars="0" w:right="0" w:firstLine="588"/>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工业和信息化部人事教育司教育处</w:t>
      </w:r>
    </w:p>
    <w:p>
      <w:pPr>
        <w:widowControl/>
        <w:adjustRightInd w:val="0"/>
        <w:snapToGrid w:val="0"/>
        <w:spacing w:beforeLines="0" w:afterLines="0" w:line="560" w:lineRule="exact"/>
        <w:ind w:firstLine="588"/>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邮    编：100804              </w:t>
      </w:r>
    </w:p>
    <w:p>
      <w:pPr>
        <w:widowControl/>
        <w:adjustRightInd w:val="0"/>
        <w:snapToGrid w:val="0"/>
        <w:spacing w:beforeLines="0" w:afterLines="0" w:line="560" w:lineRule="exact"/>
        <w:ind w:firstLine="640" w:firstLineChars="200"/>
        <w:jc w:val="left"/>
        <w:rPr>
          <w:rFonts w:hint="eastAsia" w:ascii="仿宋_GB2312" w:hAnsi="宋体" w:eastAsia="仿宋_GB2312" w:cs="宋体"/>
          <w:kern w:val="0"/>
          <w:sz w:val="32"/>
          <w:szCs w:val="32"/>
        </w:rPr>
      </w:pPr>
    </w:p>
    <w:p>
      <w:pPr>
        <w:widowControl/>
        <w:adjustRightInd w:val="0"/>
        <w:snapToGrid w:val="0"/>
        <w:spacing w:beforeLines="0" w:afterLines="0" w:line="56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附件：</w:t>
      </w:r>
      <w:bookmarkStart w:id="6" w:name="_GoBack"/>
      <w:bookmarkEnd w:id="6"/>
    </w:p>
    <w:p>
      <w:pPr>
        <w:widowControl/>
        <w:adjustRightInd w:val="0"/>
        <w:snapToGrid w:val="0"/>
        <w:spacing w:beforeLines="0" w:afterLines="0"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工业和信息化部</w:t>
      </w:r>
      <w:r>
        <w:rPr>
          <w:rFonts w:hint="eastAsia" w:ascii="仿宋_GB2312" w:hAnsi="仿宋_GB2312" w:eastAsia="仿宋_GB2312"/>
          <w:sz w:val="32"/>
          <w:szCs w:val="32"/>
        </w:rPr>
        <w:t>校企协同育人示范基地</w:t>
      </w:r>
      <w:r>
        <w:rPr>
          <w:rFonts w:hint="eastAsia" w:ascii="仿宋_GB2312" w:hAnsi="宋体" w:eastAsia="仿宋_GB2312" w:cs="宋体"/>
          <w:kern w:val="0"/>
          <w:sz w:val="32"/>
          <w:szCs w:val="32"/>
        </w:rPr>
        <w:t>建设申请书</w:t>
      </w:r>
    </w:p>
    <w:p>
      <w:pPr>
        <w:widowControl/>
        <w:adjustRightInd w:val="0"/>
        <w:snapToGrid w:val="0"/>
        <w:spacing w:beforeLines="0" w:afterLines="0" w:line="560" w:lineRule="exact"/>
        <w:ind w:firstLine="640" w:firstLineChars="200"/>
        <w:jc w:val="left"/>
        <w:rPr>
          <w:rFonts w:ascii="仿宋_GB2312" w:hAnsi="宋体" w:eastAsia="仿宋_GB2312" w:cs="宋体"/>
          <w:kern w:val="0"/>
          <w:sz w:val="32"/>
          <w:szCs w:val="32"/>
        </w:rPr>
      </w:pPr>
    </w:p>
    <w:p>
      <w:pPr>
        <w:widowControl/>
        <w:adjustRightInd w:val="0"/>
        <w:snapToGrid w:val="0"/>
        <w:spacing w:beforeLines="0" w:afterLines="0" w:line="560" w:lineRule="exact"/>
        <w:ind w:firstLine="640" w:firstLineChars="200"/>
        <w:jc w:val="both"/>
        <w:rPr>
          <w:rFonts w:hint="eastAsia" w:ascii="仿宋_GB2312" w:hAnsi="宋体" w:eastAsia="仿宋_GB2312" w:cs="宋体"/>
          <w:kern w:val="0"/>
          <w:sz w:val="32"/>
          <w:szCs w:val="32"/>
        </w:rPr>
      </w:pPr>
    </w:p>
    <w:p>
      <w:pPr>
        <w:widowControl/>
        <w:adjustRightInd w:val="0"/>
        <w:snapToGrid w:val="0"/>
        <w:spacing w:beforeLines="0" w:afterLines="0" w:line="560" w:lineRule="exact"/>
        <w:ind w:firstLine="640" w:firstLineChars="200"/>
        <w:jc w:val="both"/>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adjustRightInd w:val="0"/>
        <w:snapToGrid w:val="0"/>
        <w:spacing w:beforeLines="0" w:afterLines="0" w:line="560" w:lineRule="exact"/>
        <w:ind w:firstLine="640" w:firstLineChars="200"/>
        <w:jc w:val="both"/>
        <w:rPr>
          <w:rFonts w:hint="eastAsia" w:ascii="仿宋_GB2312" w:hAnsi="宋体" w:eastAsia="仿宋_GB2312" w:cs="宋体"/>
          <w:kern w:val="0"/>
          <w:sz w:val="32"/>
          <w:szCs w:val="32"/>
        </w:rPr>
      </w:pPr>
    </w:p>
    <w:p>
      <w:pPr>
        <w:widowControl/>
        <w:adjustRightInd w:val="0"/>
        <w:snapToGrid w:val="0"/>
        <w:spacing w:beforeLines="0" w:afterLines="0" w:line="560" w:lineRule="exact"/>
        <w:ind w:firstLine="640" w:firstLineChars="200"/>
        <w:jc w:val="both"/>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工业和信息化部人事教育司</w:t>
      </w:r>
    </w:p>
    <w:p>
      <w:pPr>
        <w:widowControl/>
        <w:adjustRightInd w:val="0"/>
        <w:snapToGrid w:val="0"/>
        <w:spacing w:beforeLines="0" w:afterLines="0" w:line="560" w:lineRule="exact"/>
        <w:ind w:firstLine="640" w:firstLineChars="200"/>
        <w:jc w:val="both"/>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2019年</w:t>
      </w: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日</w:t>
      </w:r>
    </w:p>
    <w:p>
      <w:pPr>
        <w:widowControl/>
        <w:adjustRightInd w:val="0"/>
        <w:snapToGrid w:val="0"/>
        <w:spacing w:beforeLines="0" w:afterLines="0" w:line="540" w:lineRule="exact"/>
        <w:ind w:firstLine="640" w:firstLineChars="200"/>
        <w:jc w:val="left"/>
        <w:rPr>
          <w:rFonts w:hint="eastAsia" w:ascii="仿宋_GB2312" w:hAnsi="宋体" w:eastAsia="仿宋_GB2312" w:cs="宋体"/>
          <w:kern w:val="0"/>
          <w:sz w:val="32"/>
          <w:szCs w:val="32"/>
        </w:rPr>
      </w:pPr>
    </w:p>
    <w:p>
      <w:pPr>
        <w:widowControl/>
        <w:adjustRightInd w:val="0"/>
        <w:snapToGrid w:val="0"/>
        <w:spacing w:beforeLines="0" w:afterLines="0" w:line="540" w:lineRule="exact"/>
        <w:ind w:firstLine="640" w:firstLineChars="200"/>
        <w:jc w:val="left"/>
        <w:rPr>
          <w:rFonts w:hint="eastAsia" w:ascii="仿宋_GB2312" w:hAnsi="宋体" w:eastAsia="仿宋_GB2312" w:cs="宋体"/>
          <w:kern w:val="0"/>
          <w:sz w:val="32"/>
          <w:szCs w:val="32"/>
          <w:lang w:eastAsia="zh-CN"/>
        </w:rPr>
      </w:pPr>
    </w:p>
    <w:p>
      <w:pPr>
        <w:widowControl/>
        <w:adjustRightInd w:val="0"/>
        <w:snapToGrid w:val="0"/>
        <w:spacing w:beforeLines="0" w:afterLines="0" w:line="560" w:lineRule="exact"/>
        <w:ind w:firstLine="640" w:firstLineChars="200"/>
        <w:jc w:val="right"/>
        <w:rPr>
          <w:rFonts w:ascii="仿宋_GB2312" w:hAnsi="宋体" w:eastAsia="仿宋_GB2312" w:cs="宋体"/>
          <w:kern w:val="0"/>
          <w:sz w:val="32"/>
          <w:szCs w:val="32"/>
        </w:rPr>
      </w:pPr>
    </w:p>
    <w:p>
      <w:pPr>
        <w:widowControl/>
        <w:adjustRightInd w:val="0"/>
        <w:snapToGrid w:val="0"/>
        <w:spacing w:line="360" w:lineRule="auto"/>
        <w:ind w:right="1600"/>
        <w:rPr>
          <w:rFonts w:ascii="仿宋_GB2312" w:hAnsi="宋体" w:eastAsia="仿宋_GB2312" w:cs="宋体"/>
          <w:kern w:val="0"/>
          <w:sz w:val="32"/>
          <w:szCs w:val="32"/>
        </w:rPr>
      </w:pPr>
    </w:p>
    <w:sectPr>
      <w:headerReference r:id="rId4" w:type="default"/>
      <w:footerReference r:id="rId5" w:type="default"/>
      <w:footerReference r:id="rId6" w:type="even"/>
      <w:pgSz w:w="11906" w:h="16838"/>
      <w:pgMar w:top="1440" w:right="1746" w:bottom="1440" w:left="1746" w:header="851" w:footer="992" w:gutter="0"/>
      <w:paperSrc w:first="0" w:oth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right="360"/>
    </w:pPr>
    <w:r>
      <w:rPr>
        <w:rFonts w:ascii="Times New Roman" w:hAnsi="Times New Roman" w:eastAsia="宋体" w:cs="Times New Roman"/>
        <w:kern w:val="2"/>
        <w:sz w:val="18"/>
        <w:szCs w:val="18"/>
        <w:lang w:val="en-US" w:eastAsia="zh-CN" w:bidi="ar-SA"/>
      </w:rPr>
      <w:pict>
        <v:shape id="文本框 3" o:spid="_x0000_s1025" type="#_x0000_t202" style="position:absolute;left:0;margin-top:0pt;height:144pt;width:144pt;mso-position-horizontal:center;mso-position-horizontal-relative:margin;mso-wrap-style:none;rotation:0f;z-index:25165926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w:r>
    <w:r>
      <w:rPr>
        <w:rFonts w:ascii="Times New Roman" w:hAnsi="Times New Roman" w:eastAsia="宋体" w:cs="Times New Roman"/>
        <w:kern w:val="2"/>
        <w:sz w:val="18"/>
        <w:szCs w:val="18"/>
        <w:lang w:val="en-US" w:eastAsia="zh-CN" w:bidi="ar-SA"/>
      </w:rPr>
      <w:pict>
        <v:shape id="文本框 2" o:spid="_x0000_s1026"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73645"/>
    <w:rsid w:val="00001403"/>
    <w:rsid w:val="000030F4"/>
    <w:rsid w:val="000105DD"/>
    <w:rsid w:val="000150AB"/>
    <w:rsid w:val="00015A0A"/>
    <w:rsid w:val="0002364B"/>
    <w:rsid w:val="00024421"/>
    <w:rsid w:val="00024D1F"/>
    <w:rsid w:val="00027D42"/>
    <w:rsid w:val="000313CD"/>
    <w:rsid w:val="00032DD6"/>
    <w:rsid w:val="000350E4"/>
    <w:rsid w:val="0004130C"/>
    <w:rsid w:val="0004432A"/>
    <w:rsid w:val="000460BE"/>
    <w:rsid w:val="00047F01"/>
    <w:rsid w:val="00052987"/>
    <w:rsid w:val="00055691"/>
    <w:rsid w:val="000633AE"/>
    <w:rsid w:val="000633FF"/>
    <w:rsid w:val="000638D2"/>
    <w:rsid w:val="00074F21"/>
    <w:rsid w:val="0008152B"/>
    <w:rsid w:val="00083824"/>
    <w:rsid w:val="00096260"/>
    <w:rsid w:val="000A3423"/>
    <w:rsid w:val="000A6465"/>
    <w:rsid w:val="000B187E"/>
    <w:rsid w:val="000B2F52"/>
    <w:rsid w:val="000B36FD"/>
    <w:rsid w:val="000B5777"/>
    <w:rsid w:val="000C7A33"/>
    <w:rsid w:val="000D23EF"/>
    <w:rsid w:val="000D4740"/>
    <w:rsid w:val="000E20B3"/>
    <w:rsid w:val="000E25F1"/>
    <w:rsid w:val="000E567E"/>
    <w:rsid w:val="000F0BB3"/>
    <w:rsid w:val="000F16F1"/>
    <w:rsid w:val="000F2320"/>
    <w:rsid w:val="000F2E24"/>
    <w:rsid w:val="000F3D8F"/>
    <w:rsid w:val="000F4DDD"/>
    <w:rsid w:val="000F5FA1"/>
    <w:rsid w:val="000F64D9"/>
    <w:rsid w:val="0010202F"/>
    <w:rsid w:val="00102E68"/>
    <w:rsid w:val="00114BE5"/>
    <w:rsid w:val="001216D1"/>
    <w:rsid w:val="00126581"/>
    <w:rsid w:val="001306E5"/>
    <w:rsid w:val="00135015"/>
    <w:rsid w:val="00135327"/>
    <w:rsid w:val="00135AEF"/>
    <w:rsid w:val="001405D7"/>
    <w:rsid w:val="0014087C"/>
    <w:rsid w:val="00144155"/>
    <w:rsid w:val="00152591"/>
    <w:rsid w:val="0015464B"/>
    <w:rsid w:val="00154E37"/>
    <w:rsid w:val="001550F8"/>
    <w:rsid w:val="00155C15"/>
    <w:rsid w:val="00161FC3"/>
    <w:rsid w:val="00164844"/>
    <w:rsid w:val="001763F9"/>
    <w:rsid w:val="00181397"/>
    <w:rsid w:val="001851D7"/>
    <w:rsid w:val="00187C85"/>
    <w:rsid w:val="001913FE"/>
    <w:rsid w:val="00192BC6"/>
    <w:rsid w:val="00193380"/>
    <w:rsid w:val="00193647"/>
    <w:rsid w:val="001A3C91"/>
    <w:rsid w:val="001A4986"/>
    <w:rsid w:val="001B0ED5"/>
    <w:rsid w:val="001B1EA8"/>
    <w:rsid w:val="001B2148"/>
    <w:rsid w:val="001B29FC"/>
    <w:rsid w:val="001B43E8"/>
    <w:rsid w:val="001C11D0"/>
    <w:rsid w:val="001C3A61"/>
    <w:rsid w:val="001D5D0A"/>
    <w:rsid w:val="001E42C3"/>
    <w:rsid w:val="001E4AE1"/>
    <w:rsid w:val="001E5574"/>
    <w:rsid w:val="001F08DC"/>
    <w:rsid w:val="001F112E"/>
    <w:rsid w:val="001F4EE9"/>
    <w:rsid w:val="002079BA"/>
    <w:rsid w:val="002136FA"/>
    <w:rsid w:val="002145ED"/>
    <w:rsid w:val="00214852"/>
    <w:rsid w:val="0021780F"/>
    <w:rsid w:val="00220072"/>
    <w:rsid w:val="0022103B"/>
    <w:rsid w:val="002240C4"/>
    <w:rsid w:val="00226D27"/>
    <w:rsid w:val="00234A0C"/>
    <w:rsid w:val="002440D6"/>
    <w:rsid w:val="002456F0"/>
    <w:rsid w:val="0024735B"/>
    <w:rsid w:val="002653B5"/>
    <w:rsid w:val="002676E5"/>
    <w:rsid w:val="002702C3"/>
    <w:rsid w:val="00270545"/>
    <w:rsid w:val="00271489"/>
    <w:rsid w:val="00273324"/>
    <w:rsid w:val="00277490"/>
    <w:rsid w:val="00277D96"/>
    <w:rsid w:val="002844D7"/>
    <w:rsid w:val="00284F0A"/>
    <w:rsid w:val="0028554E"/>
    <w:rsid w:val="00290ECF"/>
    <w:rsid w:val="0029578F"/>
    <w:rsid w:val="00297FDA"/>
    <w:rsid w:val="002A06FC"/>
    <w:rsid w:val="002A26A1"/>
    <w:rsid w:val="002A671F"/>
    <w:rsid w:val="002A7911"/>
    <w:rsid w:val="002C3F94"/>
    <w:rsid w:val="002C5B63"/>
    <w:rsid w:val="002C5EFB"/>
    <w:rsid w:val="002D0E00"/>
    <w:rsid w:val="002D7F93"/>
    <w:rsid w:val="002E1B4A"/>
    <w:rsid w:val="002E56C7"/>
    <w:rsid w:val="002F02F3"/>
    <w:rsid w:val="002F0E61"/>
    <w:rsid w:val="002F4FDF"/>
    <w:rsid w:val="002F68CF"/>
    <w:rsid w:val="003004BC"/>
    <w:rsid w:val="00301CFF"/>
    <w:rsid w:val="003026B5"/>
    <w:rsid w:val="0031462A"/>
    <w:rsid w:val="00317144"/>
    <w:rsid w:val="00317764"/>
    <w:rsid w:val="00317CC6"/>
    <w:rsid w:val="00323C79"/>
    <w:rsid w:val="003240E8"/>
    <w:rsid w:val="00330050"/>
    <w:rsid w:val="00332070"/>
    <w:rsid w:val="00334DFC"/>
    <w:rsid w:val="003518D8"/>
    <w:rsid w:val="0035271B"/>
    <w:rsid w:val="00353494"/>
    <w:rsid w:val="00353498"/>
    <w:rsid w:val="00355044"/>
    <w:rsid w:val="0036591D"/>
    <w:rsid w:val="003668BE"/>
    <w:rsid w:val="00372A83"/>
    <w:rsid w:val="00372F7B"/>
    <w:rsid w:val="00377FC7"/>
    <w:rsid w:val="00380E1B"/>
    <w:rsid w:val="00381229"/>
    <w:rsid w:val="00384399"/>
    <w:rsid w:val="003857FF"/>
    <w:rsid w:val="00391478"/>
    <w:rsid w:val="0039277C"/>
    <w:rsid w:val="00394CC1"/>
    <w:rsid w:val="003970F3"/>
    <w:rsid w:val="003A42F0"/>
    <w:rsid w:val="003B0CB5"/>
    <w:rsid w:val="003B302F"/>
    <w:rsid w:val="003B6032"/>
    <w:rsid w:val="003B7243"/>
    <w:rsid w:val="003C3EF4"/>
    <w:rsid w:val="003D118F"/>
    <w:rsid w:val="003D4275"/>
    <w:rsid w:val="003D7CFF"/>
    <w:rsid w:val="003E2375"/>
    <w:rsid w:val="003E5D25"/>
    <w:rsid w:val="003F05EC"/>
    <w:rsid w:val="003F0968"/>
    <w:rsid w:val="003F14CB"/>
    <w:rsid w:val="003F19C9"/>
    <w:rsid w:val="003F339F"/>
    <w:rsid w:val="003F68F7"/>
    <w:rsid w:val="0040158F"/>
    <w:rsid w:val="00403D91"/>
    <w:rsid w:val="00404FA9"/>
    <w:rsid w:val="004051B8"/>
    <w:rsid w:val="00407D7E"/>
    <w:rsid w:val="00414790"/>
    <w:rsid w:val="00414C72"/>
    <w:rsid w:val="00415FC4"/>
    <w:rsid w:val="0042262F"/>
    <w:rsid w:val="00422630"/>
    <w:rsid w:val="0042657B"/>
    <w:rsid w:val="0042726A"/>
    <w:rsid w:val="004354D1"/>
    <w:rsid w:val="00435695"/>
    <w:rsid w:val="00440331"/>
    <w:rsid w:val="00441305"/>
    <w:rsid w:val="00443C76"/>
    <w:rsid w:val="00454D5C"/>
    <w:rsid w:val="00456550"/>
    <w:rsid w:val="004575EF"/>
    <w:rsid w:val="0045799B"/>
    <w:rsid w:val="00460AD4"/>
    <w:rsid w:val="0046162E"/>
    <w:rsid w:val="0046442D"/>
    <w:rsid w:val="00464732"/>
    <w:rsid w:val="004648EB"/>
    <w:rsid w:val="00466204"/>
    <w:rsid w:val="004711F1"/>
    <w:rsid w:val="004721B2"/>
    <w:rsid w:val="004757E2"/>
    <w:rsid w:val="0047642E"/>
    <w:rsid w:val="00481832"/>
    <w:rsid w:val="00483E1A"/>
    <w:rsid w:val="00491D2E"/>
    <w:rsid w:val="004A14FB"/>
    <w:rsid w:val="004A37F2"/>
    <w:rsid w:val="004A5C17"/>
    <w:rsid w:val="004B12B2"/>
    <w:rsid w:val="004B426C"/>
    <w:rsid w:val="004C1C9D"/>
    <w:rsid w:val="004C58D5"/>
    <w:rsid w:val="004C7E8A"/>
    <w:rsid w:val="004D0028"/>
    <w:rsid w:val="004D02FA"/>
    <w:rsid w:val="004D11A2"/>
    <w:rsid w:val="004D1472"/>
    <w:rsid w:val="004D530C"/>
    <w:rsid w:val="004D538F"/>
    <w:rsid w:val="004E062C"/>
    <w:rsid w:val="004E72E5"/>
    <w:rsid w:val="004F37F6"/>
    <w:rsid w:val="004F3D1A"/>
    <w:rsid w:val="0050045C"/>
    <w:rsid w:val="00502FFA"/>
    <w:rsid w:val="00506155"/>
    <w:rsid w:val="005074DF"/>
    <w:rsid w:val="00510822"/>
    <w:rsid w:val="005128B0"/>
    <w:rsid w:val="00516900"/>
    <w:rsid w:val="0052399C"/>
    <w:rsid w:val="00526754"/>
    <w:rsid w:val="005412A7"/>
    <w:rsid w:val="00541D50"/>
    <w:rsid w:val="00541EB5"/>
    <w:rsid w:val="0054495B"/>
    <w:rsid w:val="0054568F"/>
    <w:rsid w:val="005458AA"/>
    <w:rsid w:val="00545CA0"/>
    <w:rsid w:val="005465F9"/>
    <w:rsid w:val="00550786"/>
    <w:rsid w:val="00552737"/>
    <w:rsid w:val="005529D8"/>
    <w:rsid w:val="00552E36"/>
    <w:rsid w:val="00552EAE"/>
    <w:rsid w:val="00554111"/>
    <w:rsid w:val="0056157F"/>
    <w:rsid w:val="00561E00"/>
    <w:rsid w:val="00566693"/>
    <w:rsid w:val="005708A9"/>
    <w:rsid w:val="00570C03"/>
    <w:rsid w:val="00570DCF"/>
    <w:rsid w:val="0057226F"/>
    <w:rsid w:val="00577B08"/>
    <w:rsid w:val="00581EBC"/>
    <w:rsid w:val="00586D5B"/>
    <w:rsid w:val="0059658A"/>
    <w:rsid w:val="00596B7F"/>
    <w:rsid w:val="00596FEB"/>
    <w:rsid w:val="005A5E12"/>
    <w:rsid w:val="005A6645"/>
    <w:rsid w:val="005A6C53"/>
    <w:rsid w:val="005B43FC"/>
    <w:rsid w:val="005C39FE"/>
    <w:rsid w:val="005C40D2"/>
    <w:rsid w:val="005C5F93"/>
    <w:rsid w:val="005D75F8"/>
    <w:rsid w:val="005E64D8"/>
    <w:rsid w:val="005E6B26"/>
    <w:rsid w:val="005F0A42"/>
    <w:rsid w:val="00600E02"/>
    <w:rsid w:val="006022AE"/>
    <w:rsid w:val="00604B32"/>
    <w:rsid w:val="00605EDB"/>
    <w:rsid w:val="00621706"/>
    <w:rsid w:val="00622EA0"/>
    <w:rsid w:val="00624217"/>
    <w:rsid w:val="00632AD2"/>
    <w:rsid w:val="0063537D"/>
    <w:rsid w:val="00635625"/>
    <w:rsid w:val="0063639B"/>
    <w:rsid w:val="00644DDE"/>
    <w:rsid w:val="006453B6"/>
    <w:rsid w:val="00653772"/>
    <w:rsid w:val="00653E1B"/>
    <w:rsid w:val="006623A9"/>
    <w:rsid w:val="006625B7"/>
    <w:rsid w:val="00666CE8"/>
    <w:rsid w:val="006710C9"/>
    <w:rsid w:val="00671925"/>
    <w:rsid w:val="00684B18"/>
    <w:rsid w:val="00693479"/>
    <w:rsid w:val="00694365"/>
    <w:rsid w:val="00694D04"/>
    <w:rsid w:val="00695820"/>
    <w:rsid w:val="00695A3F"/>
    <w:rsid w:val="006962D1"/>
    <w:rsid w:val="006976CF"/>
    <w:rsid w:val="006A124D"/>
    <w:rsid w:val="006A58FC"/>
    <w:rsid w:val="006A6635"/>
    <w:rsid w:val="006B08B0"/>
    <w:rsid w:val="006B328C"/>
    <w:rsid w:val="006B3A6A"/>
    <w:rsid w:val="006B5838"/>
    <w:rsid w:val="006B6278"/>
    <w:rsid w:val="006B69CC"/>
    <w:rsid w:val="006C1556"/>
    <w:rsid w:val="006C3588"/>
    <w:rsid w:val="006D0BCC"/>
    <w:rsid w:val="006D0BD9"/>
    <w:rsid w:val="006D29A1"/>
    <w:rsid w:val="006D2CA8"/>
    <w:rsid w:val="006D36A1"/>
    <w:rsid w:val="006D4295"/>
    <w:rsid w:val="006E25CA"/>
    <w:rsid w:val="006E47E1"/>
    <w:rsid w:val="006E4876"/>
    <w:rsid w:val="006F2FC3"/>
    <w:rsid w:val="006F6C7B"/>
    <w:rsid w:val="006F73CC"/>
    <w:rsid w:val="007013FD"/>
    <w:rsid w:val="00701AF6"/>
    <w:rsid w:val="00703C86"/>
    <w:rsid w:val="00707BB1"/>
    <w:rsid w:val="00707CA0"/>
    <w:rsid w:val="00715C64"/>
    <w:rsid w:val="007160FE"/>
    <w:rsid w:val="00717899"/>
    <w:rsid w:val="00720154"/>
    <w:rsid w:val="00720CD0"/>
    <w:rsid w:val="007246DD"/>
    <w:rsid w:val="007347F9"/>
    <w:rsid w:val="007354F4"/>
    <w:rsid w:val="00736294"/>
    <w:rsid w:val="007373C4"/>
    <w:rsid w:val="00740199"/>
    <w:rsid w:val="007413E1"/>
    <w:rsid w:val="00741E12"/>
    <w:rsid w:val="00743AC0"/>
    <w:rsid w:val="00743D73"/>
    <w:rsid w:val="00743F9B"/>
    <w:rsid w:val="00744DFD"/>
    <w:rsid w:val="007462B5"/>
    <w:rsid w:val="00753E79"/>
    <w:rsid w:val="00754F4D"/>
    <w:rsid w:val="007564DE"/>
    <w:rsid w:val="00766AE6"/>
    <w:rsid w:val="00766DD2"/>
    <w:rsid w:val="00767E70"/>
    <w:rsid w:val="007719E2"/>
    <w:rsid w:val="00773645"/>
    <w:rsid w:val="0077740E"/>
    <w:rsid w:val="00780F2C"/>
    <w:rsid w:val="00780F7B"/>
    <w:rsid w:val="00783C2B"/>
    <w:rsid w:val="00786613"/>
    <w:rsid w:val="00787568"/>
    <w:rsid w:val="007940DA"/>
    <w:rsid w:val="007A2BF6"/>
    <w:rsid w:val="007A4957"/>
    <w:rsid w:val="007A6BFD"/>
    <w:rsid w:val="007B0553"/>
    <w:rsid w:val="007B199D"/>
    <w:rsid w:val="007B25DD"/>
    <w:rsid w:val="007B289D"/>
    <w:rsid w:val="007C4A24"/>
    <w:rsid w:val="007C6705"/>
    <w:rsid w:val="007C6C8B"/>
    <w:rsid w:val="007D254E"/>
    <w:rsid w:val="007D52D5"/>
    <w:rsid w:val="007D7A51"/>
    <w:rsid w:val="007E0BD3"/>
    <w:rsid w:val="007E3412"/>
    <w:rsid w:val="007E74FD"/>
    <w:rsid w:val="007F2D8B"/>
    <w:rsid w:val="007F4B1C"/>
    <w:rsid w:val="00800DD0"/>
    <w:rsid w:val="00802126"/>
    <w:rsid w:val="0080375E"/>
    <w:rsid w:val="00807CE6"/>
    <w:rsid w:val="00814A66"/>
    <w:rsid w:val="0082013F"/>
    <w:rsid w:val="0082108A"/>
    <w:rsid w:val="00822259"/>
    <w:rsid w:val="00823B2C"/>
    <w:rsid w:val="008256B3"/>
    <w:rsid w:val="0082631F"/>
    <w:rsid w:val="008452A5"/>
    <w:rsid w:val="00845758"/>
    <w:rsid w:val="008468A2"/>
    <w:rsid w:val="00851F97"/>
    <w:rsid w:val="008534D4"/>
    <w:rsid w:val="00854E29"/>
    <w:rsid w:val="008558FA"/>
    <w:rsid w:val="00856890"/>
    <w:rsid w:val="00860265"/>
    <w:rsid w:val="00862B13"/>
    <w:rsid w:val="00866DFD"/>
    <w:rsid w:val="00870676"/>
    <w:rsid w:val="008723EF"/>
    <w:rsid w:val="0087549A"/>
    <w:rsid w:val="00881B12"/>
    <w:rsid w:val="00882C23"/>
    <w:rsid w:val="008945DB"/>
    <w:rsid w:val="008970D7"/>
    <w:rsid w:val="008A00E4"/>
    <w:rsid w:val="008A5E99"/>
    <w:rsid w:val="008A7DF1"/>
    <w:rsid w:val="008B2425"/>
    <w:rsid w:val="008B6F63"/>
    <w:rsid w:val="008B7BF2"/>
    <w:rsid w:val="008C08BB"/>
    <w:rsid w:val="008C0A21"/>
    <w:rsid w:val="008C2C34"/>
    <w:rsid w:val="008D53B6"/>
    <w:rsid w:val="008D724C"/>
    <w:rsid w:val="008D7B79"/>
    <w:rsid w:val="008E5B01"/>
    <w:rsid w:val="008E6146"/>
    <w:rsid w:val="008E79ED"/>
    <w:rsid w:val="008F20AD"/>
    <w:rsid w:val="008F27BF"/>
    <w:rsid w:val="0090368A"/>
    <w:rsid w:val="009069A6"/>
    <w:rsid w:val="00911ACE"/>
    <w:rsid w:val="00916C91"/>
    <w:rsid w:val="0092227D"/>
    <w:rsid w:val="00922403"/>
    <w:rsid w:val="0092277E"/>
    <w:rsid w:val="009242C4"/>
    <w:rsid w:val="0092520B"/>
    <w:rsid w:val="00925332"/>
    <w:rsid w:val="00925536"/>
    <w:rsid w:val="00931CF0"/>
    <w:rsid w:val="00933410"/>
    <w:rsid w:val="00937F7A"/>
    <w:rsid w:val="00942CAF"/>
    <w:rsid w:val="009448E8"/>
    <w:rsid w:val="009507B4"/>
    <w:rsid w:val="0095491C"/>
    <w:rsid w:val="009565C6"/>
    <w:rsid w:val="0095782C"/>
    <w:rsid w:val="00962A17"/>
    <w:rsid w:val="009730D6"/>
    <w:rsid w:val="00973CD2"/>
    <w:rsid w:val="009741C9"/>
    <w:rsid w:val="0097538C"/>
    <w:rsid w:val="0097564C"/>
    <w:rsid w:val="00977156"/>
    <w:rsid w:val="00984113"/>
    <w:rsid w:val="00984459"/>
    <w:rsid w:val="00986171"/>
    <w:rsid w:val="0098725E"/>
    <w:rsid w:val="009875B0"/>
    <w:rsid w:val="00991529"/>
    <w:rsid w:val="00994720"/>
    <w:rsid w:val="00997D98"/>
    <w:rsid w:val="009B5103"/>
    <w:rsid w:val="009C3287"/>
    <w:rsid w:val="009C63A6"/>
    <w:rsid w:val="009C655A"/>
    <w:rsid w:val="009D0FA0"/>
    <w:rsid w:val="009D58B3"/>
    <w:rsid w:val="009D659E"/>
    <w:rsid w:val="009D7C59"/>
    <w:rsid w:val="009E0794"/>
    <w:rsid w:val="009F29DF"/>
    <w:rsid w:val="009F5440"/>
    <w:rsid w:val="009F67D6"/>
    <w:rsid w:val="00A00309"/>
    <w:rsid w:val="00A00AFA"/>
    <w:rsid w:val="00A03396"/>
    <w:rsid w:val="00A07EEF"/>
    <w:rsid w:val="00A117BA"/>
    <w:rsid w:val="00A11B8C"/>
    <w:rsid w:val="00A2322A"/>
    <w:rsid w:val="00A23786"/>
    <w:rsid w:val="00A24AA2"/>
    <w:rsid w:val="00A30011"/>
    <w:rsid w:val="00A31E60"/>
    <w:rsid w:val="00A3277F"/>
    <w:rsid w:val="00A32867"/>
    <w:rsid w:val="00A3586B"/>
    <w:rsid w:val="00A44196"/>
    <w:rsid w:val="00A46BE5"/>
    <w:rsid w:val="00A5035F"/>
    <w:rsid w:val="00A541C2"/>
    <w:rsid w:val="00A55012"/>
    <w:rsid w:val="00A60470"/>
    <w:rsid w:val="00A65EE6"/>
    <w:rsid w:val="00A7072C"/>
    <w:rsid w:val="00A730F3"/>
    <w:rsid w:val="00A73CCE"/>
    <w:rsid w:val="00A73D0F"/>
    <w:rsid w:val="00A75799"/>
    <w:rsid w:val="00A773C6"/>
    <w:rsid w:val="00A82E56"/>
    <w:rsid w:val="00A838C9"/>
    <w:rsid w:val="00A91521"/>
    <w:rsid w:val="00A97AA9"/>
    <w:rsid w:val="00AA1146"/>
    <w:rsid w:val="00AA183B"/>
    <w:rsid w:val="00AA4D8E"/>
    <w:rsid w:val="00AA520D"/>
    <w:rsid w:val="00AB4242"/>
    <w:rsid w:val="00AB6D9F"/>
    <w:rsid w:val="00AB6FBC"/>
    <w:rsid w:val="00AB7CCB"/>
    <w:rsid w:val="00AC5BB8"/>
    <w:rsid w:val="00AC7473"/>
    <w:rsid w:val="00AD1540"/>
    <w:rsid w:val="00AD2751"/>
    <w:rsid w:val="00AD6190"/>
    <w:rsid w:val="00AE0C43"/>
    <w:rsid w:val="00AE6B87"/>
    <w:rsid w:val="00AE7766"/>
    <w:rsid w:val="00AF5547"/>
    <w:rsid w:val="00AF6941"/>
    <w:rsid w:val="00AF6CA5"/>
    <w:rsid w:val="00AF7B0A"/>
    <w:rsid w:val="00B02CDF"/>
    <w:rsid w:val="00B034A2"/>
    <w:rsid w:val="00B11CD5"/>
    <w:rsid w:val="00B13840"/>
    <w:rsid w:val="00B14907"/>
    <w:rsid w:val="00B167B9"/>
    <w:rsid w:val="00B204CA"/>
    <w:rsid w:val="00B26B85"/>
    <w:rsid w:val="00B31C21"/>
    <w:rsid w:val="00B41C1B"/>
    <w:rsid w:val="00B46835"/>
    <w:rsid w:val="00B542B6"/>
    <w:rsid w:val="00B62E7E"/>
    <w:rsid w:val="00B65D21"/>
    <w:rsid w:val="00B73DC2"/>
    <w:rsid w:val="00B75C18"/>
    <w:rsid w:val="00B8071E"/>
    <w:rsid w:val="00B90789"/>
    <w:rsid w:val="00BA0F7D"/>
    <w:rsid w:val="00BA23A2"/>
    <w:rsid w:val="00BA61D6"/>
    <w:rsid w:val="00BB0E46"/>
    <w:rsid w:val="00BB7D2D"/>
    <w:rsid w:val="00BC3504"/>
    <w:rsid w:val="00BC51F9"/>
    <w:rsid w:val="00BD2928"/>
    <w:rsid w:val="00BE31D8"/>
    <w:rsid w:val="00BE5AB2"/>
    <w:rsid w:val="00BE5FEE"/>
    <w:rsid w:val="00BE6F3F"/>
    <w:rsid w:val="00BE7817"/>
    <w:rsid w:val="00BF09B9"/>
    <w:rsid w:val="00BF564D"/>
    <w:rsid w:val="00BF5FAF"/>
    <w:rsid w:val="00C13B8C"/>
    <w:rsid w:val="00C178B9"/>
    <w:rsid w:val="00C22459"/>
    <w:rsid w:val="00C2547A"/>
    <w:rsid w:val="00C273CF"/>
    <w:rsid w:val="00C277A6"/>
    <w:rsid w:val="00C27D8E"/>
    <w:rsid w:val="00C33D30"/>
    <w:rsid w:val="00C41471"/>
    <w:rsid w:val="00C47780"/>
    <w:rsid w:val="00C53168"/>
    <w:rsid w:val="00C532D2"/>
    <w:rsid w:val="00C53473"/>
    <w:rsid w:val="00C60011"/>
    <w:rsid w:val="00C644A3"/>
    <w:rsid w:val="00C67CB1"/>
    <w:rsid w:val="00C70E8F"/>
    <w:rsid w:val="00C7125E"/>
    <w:rsid w:val="00C719A0"/>
    <w:rsid w:val="00C77B35"/>
    <w:rsid w:val="00C8432B"/>
    <w:rsid w:val="00C843B9"/>
    <w:rsid w:val="00CA5600"/>
    <w:rsid w:val="00CA592D"/>
    <w:rsid w:val="00CB3C8C"/>
    <w:rsid w:val="00CC0362"/>
    <w:rsid w:val="00CC2BE0"/>
    <w:rsid w:val="00CD2D38"/>
    <w:rsid w:val="00CD449B"/>
    <w:rsid w:val="00CE0572"/>
    <w:rsid w:val="00CE0F76"/>
    <w:rsid w:val="00CE3F5E"/>
    <w:rsid w:val="00CE49E7"/>
    <w:rsid w:val="00CF2198"/>
    <w:rsid w:val="00CF3607"/>
    <w:rsid w:val="00CF3A69"/>
    <w:rsid w:val="00CF4236"/>
    <w:rsid w:val="00CF4423"/>
    <w:rsid w:val="00CF47AA"/>
    <w:rsid w:val="00CF4B7E"/>
    <w:rsid w:val="00CF5CCD"/>
    <w:rsid w:val="00CF7A88"/>
    <w:rsid w:val="00D016B1"/>
    <w:rsid w:val="00D10F1D"/>
    <w:rsid w:val="00D15DBF"/>
    <w:rsid w:val="00D2258F"/>
    <w:rsid w:val="00D234E4"/>
    <w:rsid w:val="00D240C0"/>
    <w:rsid w:val="00D263E3"/>
    <w:rsid w:val="00D27B0C"/>
    <w:rsid w:val="00D31EA1"/>
    <w:rsid w:val="00D32E43"/>
    <w:rsid w:val="00D404A5"/>
    <w:rsid w:val="00D40F4B"/>
    <w:rsid w:val="00D43841"/>
    <w:rsid w:val="00D46E9B"/>
    <w:rsid w:val="00D50105"/>
    <w:rsid w:val="00D55A3B"/>
    <w:rsid w:val="00D6168D"/>
    <w:rsid w:val="00D63358"/>
    <w:rsid w:val="00D65854"/>
    <w:rsid w:val="00D74396"/>
    <w:rsid w:val="00D768C5"/>
    <w:rsid w:val="00D90E2F"/>
    <w:rsid w:val="00D94716"/>
    <w:rsid w:val="00DA3D29"/>
    <w:rsid w:val="00DA3DEE"/>
    <w:rsid w:val="00DA671D"/>
    <w:rsid w:val="00DB2D49"/>
    <w:rsid w:val="00DB5E7B"/>
    <w:rsid w:val="00DB68A5"/>
    <w:rsid w:val="00DC0B5E"/>
    <w:rsid w:val="00DC1EF4"/>
    <w:rsid w:val="00DC3767"/>
    <w:rsid w:val="00DC7C35"/>
    <w:rsid w:val="00DD7DA2"/>
    <w:rsid w:val="00DE412F"/>
    <w:rsid w:val="00DE644B"/>
    <w:rsid w:val="00DE799A"/>
    <w:rsid w:val="00DF6D3D"/>
    <w:rsid w:val="00DF7619"/>
    <w:rsid w:val="00E07C94"/>
    <w:rsid w:val="00E104A9"/>
    <w:rsid w:val="00E127E2"/>
    <w:rsid w:val="00E151CE"/>
    <w:rsid w:val="00E20B1D"/>
    <w:rsid w:val="00E20FD5"/>
    <w:rsid w:val="00E2704C"/>
    <w:rsid w:val="00E3179E"/>
    <w:rsid w:val="00E31D70"/>
    <w:rsid w:val="00E326F6"/>
    <w:rsid w:val="00E329B6"/>
    <w:rsid w:val="00E333B6"/>
    <w:rsid w:val="00E3400A"/>
    <w:rsid w:val="00E40FF7"/>
    <w:rsid w:val="00E45AC8"/>
    <w:rsid w:val="00E50524"/>
    <w:rsid w:val="00E51E88"/>
    <w:rsid w:val="00E55E85"/>
    <w:rsid w:val="00E6694F"/>
    <w:rsid w:val="00E70956"/>
    <w:rsid w:val="00E71BB0"/>
    <w:rsid w:val="00E74E86"/>
    <w:rsid w:val="00E82D13"/>
    <w:rsid w:val="00E83A2B"/>
    <w:rsid w:val="00E83C3C"/>
    <w:rsid w:val="00E85F80"/>
    <w:rsid w:val="00E8751B"/>
    <w:rsid w:val="00E8766D"/>
    <w:rsid w:val="00E87714"/>
    <w:rsid w:val="00E91821"/>
    <w:rsid w:val="00E9193B"/>
    <w:rsid w:val="00E91F30"/>
    <w:rsid w:val="00EA2BEB"/>
    <w:rsid w:val="00EA2ED8"/>
    <w:rsid w:val="00EA3DAA"/>
    <w:rsid w:val="00EA4320"/>
    <w:rsid w:val="00EA4C92"/>
    <w:rsid w:val="00EA52F2"/>
    <w:rsid w:val="00EA72A3"/>
    <w:rsid w:val="00EB1287"/>
    <w:rsid w:val="00EB41AB"/>
    <w:rsid w:val="00EB48B5"/>
    <w:rsid w:val="00EC1067"/>
    <w:rsid w:val="00EC31B9"/>
    <w:rsid w:val="00ED061A"/>
    <w:rsid w:val="00ED3A6A"/>
    <w:rsid w:val="00ED3CE3"/>
    <w:rsid w:val="00ED74D9"/>
    <w:rsid w:val="00ED788C"/>
    <w:rsid w:val="00EE03DF"/>
    <w:rsid w:val="00EF21EA"/>
    <w:rsid w:val="00EF426F"/>
    <w:rsid w:val="00EF44A7"/>
    <w:rsid w:val="00F037EE"/>
    <w:rsid w:val="00F075A1"/>
    <w:rsid w:val="00F11321"/>
    <w:rsid w:val="00F14558"/>
    <w:rsid w:val="00F2487F"/>
    <w:rsid w:val="00F32B3F"/>
    <w:rsid w:val="00F3572F"/>
    <w:rsid w:val="00F37D3C"/>
    <w:rsid w:val="00F4059D"/>
    <w:rsid w:val="00F40F2E"/>
    <w:rsid w:val="00F43E4B"/>
    <w:rsid w:val="00F45410"/>
    <w:rsid w:val="00F646E1"/>
    <w:rsid w:val="00F64B9D"/>
    <w:rsid w:val="00F70389"/>
    <w:rsid w:val="00F7051B"/>
    <w:rsid w:val="00F74FDE"/>
    <w:rsid w:val="00F770DD"/>
    <w:rsid w:val="00F77AC1"/>
    <w:rsid w:val="00F80E89"/>
    <w:rsid w:val="00F81420"/>
    <w:rsid w:val="00F8343E"/>
    <w:rsid w:val="00F85F62"/>
    <w:rsid w:val="00F8667C"/>
    <w:rsid w:val="00F9138D"/>
    <w:rsid w:val="00F93F1D"/>
    <w:rsid w:val="00F94A48"/>
    <w:rsid w:val="00F94EE0"/>
    <w:rsid w:val="00F9538B"/>
    <w:rsid w:val="00F962CD"/>
    <w:rsid w:val="00FA422E"/>
    <w:rsid w:val="00FA76CA"/>
    <w:rsid w:val="00FA79DA"/>
    <w:rsid w:val="00FB0517"/>
    <w:rsid w:val="00FB1478"/>
    <w:rsid w:val="00FB389E"/>
    <w:rsid w:val="00FB5E49"/>
    <w:rsid w:val="00FC2543"/>
    <w:rsid w:val="00FC56B4"/>
    <w:rsid w:val="00FC6102"/>
    <w:rsid w:val="00FD527C"/>
    <w:rsid w:val="00FE60EE"/>
    <w:rsid w:val="00FF0229"/>
    <w:rsid w:val="00FF3E4D"/>
    <w:rsid w:val="00FF3FEC"/>
    <w:rsid w:val="00FF53DB"/>
    <w:rsid w:val="00FF7F80"/>
    <w:rsid w:val="025A5754"/>
    <w:rsid w:val="04F45D1A"/>
    <w:rsid w:val="06661991"/>
    <w:rsid w:val="08CE4508"/>
    <w:rsid w:val="0BC618ED"/>
    <w:rsid w:val="10ED528D"/>
    <w:rsid w:val="11440651"/>
    <w:rsid w:val="14F8775F"/>
    <w:rsid w:val="176678F1"/>
    <w:rsid w:val="18B806E9"/>
    <w:rsid w:val="195C3628"/>
    <w:rsid w:val="1CA761B8"/>
    <w:rsid w:val="1D3A0F94"/>
    <w:rsid w:val="1F7156D8"/>
    <w:rsid w:val="1FBB4CF6"/>
    <w:rsid w:val="20210378"/>
    <w:rsid w:val="20475EFF"/>
    <w:rsid w:val="21844469"/>
    <w:rsid w:val="21E6419D"/>
    <w:rsid w:val="236B1FCC"/>
    <w:rsid w:val="236E1993"/>
    <w:rsid w:val="27FC051B"/>
    <w:rsid w:val="28607EB0"/>
    <w:rsid w:val="293E1877"/>
    <w:rsid w:val="298B2DE2"/>
    <w:rsid w:val="2A9A148C"/>
    <w:rsid w:val="2BB37FFC"/>
    <w:rsid w:val="2BDE19D3"/>
    <w:rsid w:val="2C496B77"/>
    <w:rsid w:val="31772051"/>
    <w:rsid w:val="31FC7E36"/>
    <w:rsid w:val="3279563E"/>
    <w:rsid w:val="34963D19"/>
    <w:rsid w:val="34C01655"/>
    <w:rsid w:val="34DA6DFE"/>
    <w:rsid w:val="36D20961"/>
    <w:rsid w:val="3770571D"/>
    <w:rsid w:val="377F653D"/>
    <w:rsid w:val="39983419"/>
    <w:rsid w:val="3AEB2179"/>
    <w:rsid w:val="3C124E8F"/>
    <w:rsid w:val="3DDB1463"/>
    <w:rsid w:val="3FF63380"/>
    <w:rsid w:val="41BC1271"/>
    <w:rsid w:val="42CA3142"/>
    <w:rsid w:val="42DF2FD2"/>
    <w:rsid w:val="439F5F58"/>
    <w:rsid w:val="44DE316F"/>
    <w:rsid w:val="44EB7BFE"/>
    <w:rsid w:val="45965A93"/>
    <w:rsid w:val="45BB584B"/>
    <w:rsid w:val="48183AA6"/>
    <w:rsid w:val="49AB14EA"/>
    <w:rsid w:val="4B1A6AB0"/>
    <w:rsid w:val="4CCA3A1E"/>
    <w:rsid w:val="4E757105"/>
    <w:rsid w:val="4FFF516A"/>
    <w:rsid w:val="540A4C1F"/>
    <w:rsid w:val="54F301E1"/>
    <w:rsid w:val="57051A72"/>
    <w:rsid w:val="57B85C5A"/>
    <w:rsid w:val="5877331F"/>
    <w:rsid w:val="5A245285"/>
    <w:rsid w:val="5FCB5546"/>
    <w:rsid w:val="614A53AB"/>
    <w:rsid w:val="62454137"/>
    <w:rsid w:val="633A0B42"/>
    <w:rsid w:val="63C4052A"/>
    <w:rsid w:val="65D73372"/>
    <w:rsid w:val="66297B3F"/>
    <w:rsid w:val="670D2231"/>
    <w:rsid w:val="68B1176F"/>
    <w:rsid w:val="697D7DF4"/>
    <w:rsid w:val="6B451012"/>
    <w:rsid w:val="6BFD4DD6"/>
    <w:rsid w:val="6CD1372D"/>
    <w:rsid w:val="6FA9325B"/>
    <w:rsid w:val="74CC14D1"/>
    <w:rsid w:val="750300FC"/>
    <w:rsid w:val="766A2BC4"/>
    <w:rsid w:val="7B7976D6"/>
    <w:rsid w:val="7C78629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uiPriority w:val="1"/>
  </w:style>
  <w:style w:type="table" w:default="1" w:styleId="9">
    <w:name w:val="Normal Table"/>
    <w:unhideWhenUsed/>
    <w:uiPriority w:val="99"/>
    <w:tblPr>
      <w:tblStyle w:val="9"/>
      <w:tblLayout w:type="fixed"/>
      <w:tblCellMar>
        <w:top w:w="0" w:type="dxa"/>
        <w:left w:w="108" w:type="dxa"/>
        <w:bottom w:w="0" w:type="dxa"/>
        <w:right w:w="108" w:type="dxa"/>
      </w:tblCellMar>
    </w:tblPr>
    <w:tcPr>
      <w:textDirection w:val="lrTb"/>
    </w:tcPr>
  </w:style>
  <w:style w:type="paragraph" w:styleId="2">
    <w:name w:val="Balloon Text"/>
    <w:basedOn w:val="1"/>
    <w:link w:val="14"/>
    <w:unhideWhenUsed/>
    <w:uiPriority w:val="99"/>
    <w:rPr>
      <w:sz w:val="18"/>
      <w:szCs w:val="18"/>
    </w:rPr>
  </w:style>
  <w:style w:type="paragraph" w:styleId="3">
    <w:name w:val="footer"/>
    <w:basedOn w:val="1"/>
    <w:link w:val="13"/>
    <w:uiPriority w:val="0"/>
    <w:pPr>
      <w:tabs>
        <w:tab w:val="center" w:pos="4153"/>
        <w:tab w:val="right" w:pos="8306"/>
      </w:tabs>
      <w:snapToGrid w:val="0"/>
      <w:jc w:val="left"/>
    </w:pPr>
    <w:rPr>
      <w:rFonts w:ascii="Times New Roman" w:hAnsi="Times New Roman" w:cs="Times New Roman"/>
      <w:sz w:val="18"/>
      <w:szCs w:val="18"/>
    </w:rPr>
  </w:style>
  <w:style w:type="paragraph" w:styleId="4">
    <w:name w:val="header"/>
    <w:basedOn w:val="1"/>
    <w:link w:val="12"/>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character" w:styleId="6">
    <w:name w:val="page number"/>
    <w:basedOn w:val="5"/>
    <w:uiPriority w:val="0"/>
    <w:rPr/>
  </w:style>
  <w:style w:type="character" w:styleId="7">
    <w:name w:val="Emphasis"/>
    <w:qFormat/>
    <w:uiPriority w:val="20"/>
    <w:rPr>
      <w:i/>
    </w:rPr>
  </w:style>
  <w:style w:type="character" w:styleId="8">
    <w:name w:val="Hyperlink"/>
    <w:unhideWhenUsed/>
    <w:uiPriority w:val="99"/>
    <w:rPr>
      <w:color w:val="0000FF"/>
      <w:u w:val="single"/>
    </w:rPr>
  </w:style>
  <w:style w:type="paragraph" w:customStyle="1" w:styleId="10">
    <w:name w:val="列出段落1"/>
    <w:basedOn w:val="1"/>
    <w:qFormat/>
    <w:uiPriority w:val="34"/>
    <w:pPr>
      <w:ind w:firstLine="420" w:firstLineChars="200"/>
    </w:pPr>
  </w:style>
  <w:style w:type="paragraph" w:customStyle="1" w:styleId="11">
    <w:name w:val="p0"/>
    <w:basedOn w:val="1"/>
    <w:qFormat/>
    <w:uiPriority w:val="0"/>
    <w:pPr>
      <w:widowControl/>
      <w:spacing w:before="100" w:beforeAutospacing="1" w:after="100" w:afterAutospacing="1"/>
      <w:jc w:val="left"/>
    </w:pPr>
    <w:rPr>
      <w:rFonts w:ascii="宋体" w:hAnsi="宋体" w:cs="宋体"/>
      <w:kern w:val="0"/>
      <w:sz w:val="24"/>
    </w:rPr>
  </w:style>
  <w:style w:type="character" w:customStyle="1" w:styleId="12">
    <w:name w:val="页眉 字符"/>
    <w:link w:val="4"/>
    <w:uiPriority w:val="0"/>
    <w:rPr>
      <w:rFonts w:ascii="Times New Roman" w:hAnsi="Times New Roman" w:eastAsia="宋体" w:cs="Times New Roman"/>
      <w:sz w:val="18"/>
      <w:szCs w:val="18"/>
    </w:rPr>
  </w:style>
  <w:style w:type="character" w:customStyle="1" w:styleId="13">
    <w:name w:val="页脚 字符"/>
    <w:link w:val="3"/>
    <w:uiPriority w:val="0"/>
    <w:rPr>
      <w:rFonts w:ascii="Times New Roman" w:hAnsi="Times New Roman" w:eastAsia="宋体" w:cs="Times New Roman"/>
      <w:sz w:val="18"/>
      <w:szCs w:val="18"/>
    </w:rPr>
  </w:style>
  <w:style w:type="character" w:customStyle="1" w:styleId="14">
    <w:name w:val="批注框文本 字符"/>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601</Words>
  <Characters>3432</Characters>
  <Lines>28</Lines>
  <Paragraphs>8</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2019-09-17T07:23:00Z</dcterms:created>
  <dc:creator>Luo4</dc:creator>
  <cp:lastModifiedBy>Administrator</cp:lastModifiedBy>
  <cp:lastPrinted>2019-12-11T01:32:00Z</cp:lastPrinted>
  <dcterms:modified xsi:type="dcterms:W3CDTF">2019-12-12T09:45:27Z</dcterms:modified>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