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963" w:rsidRDefault="00F57963">
      <w:pPr>
        <w:pStyle w:val="a3"/>
        <w:shd w:val="clear" w:color="auto" w:fill="FFFFFF"/>
        <w:spacing w:beforeAutospacing="0" w:afterAutospacing="0" w:line="432" w:lineRule="atLeast"/>
        <w:jc w:val="both"/>
        <w:rPr>
          <w:rFonts w:ascii="黑体" w:eastAsia="黑体" w:hAnsi="黑体" w:cs="黑体"/>
          <w:color w:val="000000"/>
          <w:sz w:val="32"/>
          <w:szCs w:val="32"/>
          <w:shd w:val="clear" w:color="auto" w:fill="FFFFFF"/>
        </w:rPr>
      </w:pPr>
      <w:bookmarkStart w:id="0" w:name="_GoBack"/>
      <w:bookmarkEnd w:id="0"/>
    </w:p>
    <w:p w:rsidR="00F57963" w:rsidRDefault="00C80810">
      <w:pPr>
        <w:pStyle w:val="a3"/>
        <w:shd w:val="clear" w:color="auto" w:fill="FFFFFF"/>
        <w:spacing w:beforeAutospacing="0" w:afterAutospacing="0" w:line="432" w:lineRule="atLeast"/>
        <w:ind w:firstLine="480"/>
        <w:jc w:val="center"/>
        <w:rPr>
          <w:rFonts w:ascii="方正小标宋简体" w:eastAsia="方正小标宋简体" w:hAnsi="方正小标宋简体" w:cs="方正小标宋简体"/>
          <w:color w:val="000000"/>
          <w:sz w:val="44"/>
          <w:szCs w:val="44"/>
          <w:shd w:val="clear" w:color="auto" w:fill="FFFFFF"/>
        </w:rPr>
      </w:pPr>
      <w:r>
        <w:rPr>
          <w:rFonts w:ascii="方正小标宋简体" w:eastAsia="方正小标宋简体" w:hAnsi="方正小标宋简体" w:cs="方正小标宋简体" w:hint="eastAsia"/>
          <w:color w:val="000000"/>
          <w:sz w:val="44"/>
          <w:szCs w:val="44"/>
          <w:shd w:val="clear" w:color="auto" w:fill="FFFFFF"/>
        </w:rPr>
        <w:t>创新项目外语合格条件</w:t>
      </w:r>
    </w:p>
    <w:p w:rsidR="00F57963" w:rsidRDefault="00C80810">
      <w:pPr>
        <w:pStyle w:val="a3"/>
        <w:shd w:val="clear" w:color="auto" w:fill="FFFFFF"/>
        <w:adjustRightInd w:val="0"/>
        <w:snapToGrid w:val="0"/>
        <w:spacing w:beforeAutospacing="0" w:afterAutospacing="0" w:line="560" w:lineRule="exact"/>
        <w:jc w:val="both"/>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一、高级研究学者、访问学者及博士后类别申请人，外语水平需达到以下条件之一：</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参加“全国外语水平考试</w:t>
      </w:r>
      <w:r>
        <w:rPr>
          <w:rFonts w:ascii="仿宋_GB2312" w:eastAsia="仿宋_GB2312" w:hAnsi="仿宋_GB2312" w:cs="仿宋_GB2312" w:hint="eastAsia"/>
          <w:color w:val="000000"/>
          <w:sz w:val="32"/>
          <w:szCs w:val="32"/>
          <w:shd w:val="clear" w:color="auto" w:fill="FFFFFF"/>
        </w:rPr>
        <w:t>(WSK)</w:t>
      </w:r>
      <w:r>
        <w:rPr>
          <w:rFonts w:ascii="仿宋_GB2312" w:eastAsia="仿宋_GB2312" w:hAnsi="仿宋_GB2312" w:cs="仿宋_GB2312" w:hint="eastAsia"/>
          <w:color w:val="000000"/>
          <w:sz w:val="32"/>
          <w:szCs w:val="32"/>
          <w:shd w:val="clear" w:color="auto" w:fill="FFFFFF"/>
        </w:rPr>
        <w:t>”并达到合格标准。各语种要求如下：</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英语（</w:t>
      </w:r>
      <w:r>
        <w:rPr>
          <w:rFonts w:ascii="仿宋_GB2312" w:eastAsia="仿宋_GB2312" w:hAnsi="仿宋_GB2312" w:cs="仿宋_GB2312" w:hint="eastAsia"/>
          <w:color w:val="000000"/>
          <w:sz w:val="32"/>
          <w:szCs w:val="32"/>
          <w:shd w:val="clear" w:color="auto" w:fill="FFFFFF"/>
        </w:rPr>
        <w:t>PETS5</w:t>
      </w:r>
      <w:r>
        <w:rPr>
          <w:rFonts w:ascii="仿宋_GB2312" w:eastAsia="仿宋_GB2312" w:hAnsi="仿宋_GB2312" w:cs="仿宋_GB2312" w:hint="eastAsia"/>
          <w:color w:val="000000"/>
          <w:sz w:val="32"/>
          <w:szCs w:val="32"/>
          <w:shd w:val="clear" w:color="auto" w:fill="FFFFFF"/>
        </w:rPr>
        <w:t>）：笔试总分</w:t>
      </w:r>
      <w:r>
        <w:rPr>
          <w:rFonts w:ascii="仿宋_GB2312" w:eastAsia="仿宋_GB2312" w:hAnsi="仿宋_GB2312" w:cs="仿宋_GB2312" w:hint="eastAsia"/>
          <w:color w:val="000000"/>
          <w:sz w:val="32"/>
          <w:szCs w:val="32"/>
          <w:shd w:val="clear" w:color="auto" w:fill="FFFFFF"/>
        </w:rPr>
        <w:t>55</w:t>
      </w:r>
      <w:r>
        <w:rPr>
          <w:rFonts w:ascii="仿宋_GB2312" w:eastAsia="仿宋_GB2312" w:hAnsi="仿宋_GB2312" w:cs="仿宋_GB2312" w:hint="eastAsia"/>
          <w:color w:val="000000"/>
          <w:sz w:val="32"/>
          <w:szCs w:val="32"/>
          <w:shd w:val="clear" w:color="auto" w:fill="FFFFFF"/>
        </w:rPr>
        <w:t>分（含）以上，其中听力部分</w:t>
      </w:r>
      <w:r>
        <w:rPr>
          <w:rFonts w:ascii="仿宋_GB2312" w:eastAsia="仿宋_GB2312" w:hAnsi="仿宋_GB2312" w:cs="仿宋_GB2312" w:hint="eastAsia"/>
          <w:color w:val="000000"/>
          <w:sz w:val="32"/>
          <w:szCs w:val="32"/>
          <w:shd w:val="clear" w:color="auto" w:fill="FFFFFF"/>
        </w:rPr>
        <w:t>18</w:t>
      </w:r>
      <w:r>
        <w:rPr>
          <w:rFonts w:ascii="仿宋_GB2312" w:eastAsia="仿宋_GB2312" w:hAnsi="仿宋_GB2312" w:cs="仿宋_GB2312" w:hint="eastAsia"/>
          <w:color w:val="000000"/>
          <w:sz w:val="32"/>
          <w:szCs w:val="32"/>
          <w:shd w:val="clear" w:color="auto" w:fill="FFFFFF"/>
        </w:rPr>
        <w:t>分（含）以上，口试总分</w:t>
      </w: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分（含）以上；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德语</w:t>
      </w:r>
      <w:r>
        <w:rPr>
          <w:rFonts w:ascii="仿宋_GB2312" w:eastAsia="仿宋_GB2312" w:hAnsi="仿宋_GB2312" w:cs="仿宋_GB2312" w:hint="eastAsia"/>
          <w:color w:val="000000"/>
          <w:sz w:val="32"/>
          <w:szCs w:val="32"/>
          <w:shd w:val="clear" w:color="auto" w:fill="FFFFFF"/>
        </w:rPr>
        <w:t>(NTD)</w:t>
      </w:r>
      <w:r>
        <w:rPr>
          <w:rFonts w:ascii="仿宋_GB2312" w:eastAsia="仿宋_GB2312" w:hAnsi="仿宋_GB2312" w:cs="仿宋_GB2312" w:hint="eastAsia"/>
          <w:color w:val="000000"/>
          <w:sz w:val="32"/>
          <w:szCs w:val="32"/>
          <w:shd w:val="clear" w:color="auto" w:fill="FFFFFF"/>
        </w:rPr>
        <w:t>：笔试总分</w:t>
      </w:r>
      <w:r>
        <w:rPr>
          <w:rFonts w:ascii="仿宋_GB2312" w:eastAsia="仿宋_GB2312" w:hAnsi="仿宋_GB2312" w:cs="仿宋_GB2312" w:hint="eastAsia"/>
          <w:color w:val="000000"/>
          <w:sz w:val="32"/>
          <w:szCs w:val="32"/>
          <w:shd w:val="clear" w:color="auto" w:fill="FFFFFF"/>
        </w:rPr>
        <w:t>65</w:t>
      </w:r>
      <w:r>
        <w:rPr>
          <w:rFonts w:ascii="仿宋_GB2312" w:eastAsia="仿宋_GB2312" w:hAnsi="仿宋_GB2312" w:cs="仿宋_GB2312" w:hint="eastAsia"/>
          <w:color w:val="000000"/>
          <w:sz w:val="32"/>
          <w:szCs w:val="32"/>
          <w:shd w:val="clear" w:color="auto" w:fill="FFFFFF"/>
        </w:rPr>
        <w:t>分（含）以上；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法语</w:t>
      </w:r>
      <w:r>
        <w:rPr>
          <w:rFonts w:ascii="仿宋_GB2312" w:eastAsia="仿宋_GB2312" w:hAnsi="仿宋_GB2312" w:cs="仿宋_GB2312" w:hint="eastAsia"/>
          <w:color w:val="000000"/>
          <w:sz w:val="32"/>
          <w:szCs w:val="32"/>
          <w:shd w:val="clear" w:color="auto" w:fill="FFFFFF"/>
        </w:rPr>
        <w:t>(TNF)</w:t>
      </w:r>
      <w:r>
        <w:rPr>
          <w:rFonts w:ascii="仿宋_GB2312" w:eastAsia="仿宋_GB2312" w:hAnsi="仿宋_GB2312" w:cs="仿宋_GB2312" w:hint="eastAsia"/>
          <w:color w:val="000000"/>
          <w:sz w:val="32"/>
          <w:szCs w:val="32"/>
          <w:shd w:val="clear" w:color="auto" w:fill="FFFFFF"/>
        </w:rPr>
        <w:t>：笔试总分</w:t>
      </w:r>
      <w:r>
        <w:rPr>
          <w:rFonts w:ascii="仿宋_GB2312" w:eastAsia="仿宋_GB2312" w:hAnsi="仿宋_GB2312" w:cs="仿宋_GB2312" w:hint="eastAsia"/>
          <w:color w:val="000000"/>
          <w:sz w:val="32"/>
          <w:szCs w:val="32"/>
          <w:shd w:val="clear" w:color="auto" w:fill="FFFFFF"/>
        </w:rPr>
        <w:t>60</w:t>
      </w:r>
      <w:r>
        <w:rPr>
          <w:rFonts w:ascii="仿宋_GB2312" w:eastAsia="仿宋_GB2312" w:hAnsi="仿宋_GB2312" w:cs="仿宋_GB2312" w:hint="eastAsia"/>
          <w:color w:val="000000"/>
          <w:sz w:val="32"/>
          <w:szCs w:val="32"/>
          <w:shd w:val="clear" w:color="auto" w:fill="FFFFFF"/>
        </w:rPr>
        <w:t>分（含）以上；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日语（</w:t>
      </w:r>
      <w:r>
        <w:rPr>
          <w:rFonts w:ascii="仿宋_GB2312" w:eastAsia="仿宋_GB2312" w:hAnsi="仿宋_GB2312" w:cs="仿宋_GB2312" w:hint="eastAsia"/>
          <w:color w:val="000000"/>
          <w:sz w:val="32"/>
          <w:szCs w:val="32"/>
          <w:shd w:val="clear" w:color="auto" w:fill="FFFFFF"/>
        </w:rPr>
        <w:t>NNS</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俄语（ТЛРЯ）：笔试总分</w:t>
      </w:r>
      <w:r>
        <w:rPr>
          <w:rFonts w:ascii="仿宋_GB2312" w:eastAsia="仿宋_GB2312" w:hAnsi="仿宋_GB2312" w:cs="仿宋_GB2312" w:hint="eastAsia"/>
          <w:color w:val="000000"/>
          <w:sz w:val="32"/>
          <w:szCs w:val="32"/>
          <w:shd w:val="clear" w:color="auto" w:fill="FFFFFF"/>
        </w:rPr>
        <w:t>60</w:t>
      </w:r>
      <w:r>
        <w:rPr>
          <w:rFonts w:ascii="仿宋_GB2312" w:eastAsia="仿宋_GB2312" w:hAnsi="仿宋_GB2312" w:cs="仿宋_GB2312" w:hint="eastAsia"/>
          <w:color w:val="000000"/>
          <w:sz w:val="32"/>
          <w:szCs w:val="32"/>
          <w:shd w:val="clear" w:color="auto" w:fill="FFFFFF"/>
        </w:rPr>
        <w:t>分（含）以上，其中口试总分</w:t>
      </w: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分（含）以上。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外语专业本科（含）以上毕业（专业语种应与留学目的国使用的语种一致）。</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近十年内曾在同一语种国家或地区连续留学</w:t>
      </w:r>
      <w:r>
        <w:rPr>
          <w:rFonts w:ascii="仿宋_GB2312" w:eastAsia="仿宋_GB2312" w:hAnsi="仿宋_GB2312" w:cs="仿宋_GB2312" w:hint="eastAsia"/>
          <w:color w:val="000000"/>
          <w:sz w:val="32"/>
          <w:szCs w:val="32"/>
          <w:shd w:val="clear" w:color="auto" w:fill="FFFFFF"/>
        </w:rPr>
        <w:t>8</w:t>
      </w:r>
      <w:r>
        <w:rPr>
          <w:rFonts w:ascii="仿宋_GB2312" w:eastAsia="仿宋_GB2312" w:hAnsi="仿宋_GB2312" w:cs="仿宋_GB2312" w:hint="eastAsia"/>
          <w:color w:val="000000"/>
          <w:sz w:val="32"/>
          <w:szCs w:val="32"/>
          <w:shd w:val="clear" w:color="auto" w:fill="FFFFFF"/>
        </w:rPr>
        <w:t>个月（含）以上，或连续工作</w:t>
      </w:r>
      <w:r>
        <w:rPr>
          <w:rFonts w:ascii="仿宋_GB2312" w:eastAsia="仿宋_GB2312" w:hAnsi="仿宋_GB2312" w:cs="仿宋_GB2312" w:hint="eastAsia"/>
          <w:color w:val="000000"/>
          <w:sz w:val="32"/>
          <w:szCs w:val="32"/>
          <w:shd w:val="clear" w:color="auto" w:fill="FFFFFF"/>
        </w:rPr>
        <w:t>12</w:t>
      </w:r>
      <w:r>
        <w:rPr>
          <w:rFonts w:ascii="仿宋_GB2312" w:eastAsia="仿宋_GB2312" w:hAnsi="仿宋_GB2312" w:cs="仿宋_GB2312" w:hint="eastAsia"/>
          <w:color w:val="000000"/>
          <w:sz w:val="32"/>
          <w:szCs w:val="32"/>
          <w:shd w:val="clear" w:color="auto" w:fill="FFFFFF"/>
        </w:rPr>
        <w:t>个月（含）以上，或曾以国家公派高级研究学者身份留学</w:t>
      </w: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个月（含）以上。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曾在教育部指定出国留学人员培训部参加相应语种培训并获结业证书。各语种要求如下：</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英语：高级班结业证书；</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德语、法语、日语、俄语、西班牙语、意大利语：中级班结业证书。</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参加雅思、托福、德语、法语、西班牙语、意大利语、日语、韩语水平考试，成绩达到以下标准：</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lastRenderedPageBreak/>
        <w:t>雅思（学术类）</w:t>
      </w:r>
      <w:r>
        <w:rPr>
          <w:rFonts w:ascii="仿宋_GB2312" w:eastAsia="仿宋_GB2312" w:hAnsi="仿宋_GB2312" w:cs="仿宋_GB2312" w:hint="eastAsia"/>
          <w:color w:val="000000"/>
          <w:sz w:val="32"/>
          <w:szCs w:val="32"/>
          <w:shd w:val="clear" w:color="auto" w:fill="FFFFFF"/>
        </w:rPr>
        <w:t>6.5</w:t>
      </w:r>
      <w:r>
        <w:rPr>
          <w:rFonts w:ascii="仿宋_GB2312" w:eastAsia="仿宋_GB2312" w:hAnsi="仿宋_GB2312" w:cs="仿宋_GB2312" w:hint="eastAsia"/>
          <w:color w:val="000000"/>
          <w:sz w:val="32"/>
          <w:szCs w:val="32"/>
          <w:shd w:val="clear" w:color="auto" w:fill="FFFFFF"/>
        </w:rPr>
        <w:t>分、托福网考</w:t>
      </w:r>
      <w:r>
        <w:rPr>
          <w:rFonts w:ascii="仿宋_GB2312" w:eastAsia="仿宋_GB2312" w:hAnsi="仿宋_GB2312" w:cs="仿宋_GB2312" w:hint="eastAsia"/>
          <w:color w:val="000000"/>
          <w:sz w:val="32"/>
          <w:szCs w:val="32"/>
          <w:shd w:val="clear" w:color="auto" w:fill="FFFFFF"/>
        </w:rPr>
        <w:t>95</w:t>
      </w:r>
      <w:r>
        <w:rPr>
          <w:rFonts w:ascii="仿宋_GB2312" w:eastAsia="仿宋_GB2312" w:hAnsi="仿宋_GB2312" w:cs="仿宋_GB2312" w:hint="eastAsia"/>
          <w:color w:val="000000"/>
          <w:sz w:val="32"/>
          <w:szCs w:val="32"/>
          <w:shd w:val="clear" w:color="auto" w:fill="FFFFFF"/>
        </w:rPr>
        <w:t>分；</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德语、法语、西班牙语、意大利语达到欧洲统一语言参考框架（</w:t>
      </w:r>
      <w:r>
        <w:rPr>
          <w:rFonts w:ascii="仿宋_GB2312" w:eastAsia="仿宋_GB2312" w:hAnsi="仿宋_GB2312" w:cs="仿宋_GB2312" w:hint="eastAsia"/>
          <w:color w:val="000000"/>
          <w:sz w:val="32"/>
          <w:szCs w:val="32"/>
          <w:shd w:val="clear" w:color="auto" w:fill="FFFFFF"/>
        </w:rPr>
        <w:t>CECRL</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B2</w:t>
      </w:r>
      <w:r>
        <w:rPr>
          <w:rFonts w:ascii="仿宋_GB2312" w:eastAsia="仿宋_GB2312" w:hAnsi="仿宋_GB2312" w:cs="仿宋_GB2312" w:hint="eastAsia"/>
          <w:color w:val="000000"/>
          <w:sz w:val="32"/>
          <w:szCs w:val="32"/>
          <w:shd w:val="clear" w:color="auto" w:fill="FFFFFF"/>
        </w:rPr>
        <w:t>级；</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日语达到日本语能力测试（</w:t>
      </w:r>
      <w:r>
        <w:rPr>
          <w:rFonts w:ascii="仿宋_GB2312" w:eastAsia="仿宋_GB2312" w:hAnsi="仿宋_GB2312" w:cs="仿宋_GB2312" w:hint="eastAsia"/>
          <w:color w:val="000000"/>
          <w:sz w:val="32"/>
          <w:szCs w:val="32"/>
          <w:shd w:val="clear" w:color="auto" w:fill="FFFFFF"/>
        </w:rPr>
        <w:t>JLPT</w:t>
      </w:r>
      <w:r>
        <w:rPr>
          <w:rFonts w:ascii="仿宋_GB2312" w:eastAsia="仿宋_GB2312" w:hAnsi="仿宋_GB2312" w:cs="仿宋_GB2312" w:hint="eastAsia"/>
          <w:color w:val="000000"/>
          <w:sz w:val="32"/>
          <w:szCs w:val="32"/>
          <w:shd w:val="clear" w:color="auto" w:fill="FFFFFF"/>
        </w:rPr>
        <w:t>）三级（</w:t>
      </w:r>
      <w:r>
        <w:rPr>
          <w:rFonts w:ascii="仿宋_GB2312" w:eastAsia="仿宋_GB2312" w:hAnsi="仿宋_GB2312" w:cs="仿宋_GB2312" w:hint="eastAsia"/>
          <w:color w:val="000000"/>
          <w:sz w:val="32"/>
          <w:szCs w:val="32"/>
          <w:shd w:val="clear" w:color="auto" w:fill="FFFFFF"/>
        </w:rPr>
        <w:t>N3</w:t>
      </w:r>
      <w:r>
        <w:rPr>
          <w:rFonts w:ascii="仿宋_GB2312" w:eastAsia="仿宋_GB2312" w:hAnsi="仿宋_GB2312" w:cs="仿宋_GB2312" w:hint="eastAsia"/>
          <w:color w:val="000000"/>
          <w:sz w:val="32"/>
          <w:szCs w:val="32"/>
          <w:shd w:val="clear" w:color="auto" w:fill="FFFFFF"/>
        </w:rPr>
        <w:t>）；</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韩语达到</w:t>
      </w:r>
      <w:r>
        <w:rPr>
          <w:rFonts w:ascii="仿宋_GB2312" w:eastAsia="仿宋_GB2312" w:hAnsi="仿宋_GB2312" w:cs="仿宋_GB2312" w:hint="eastAsia"/>
          <w:color w:val="000000"/>
          <w:sz w:val="32"/>
          <w:szCs w:val="32"/>
          <w:shd w:val="clear" w:color="auto" w:fill="FFFFFF"/>
        </w:rPr>
        <w:t>TOPIK3</w:t>
      </w:r>
      <w:r>
        <w:rPr>
          <w:rFonts w:ascii="仿宋_GB2312" w:eastAsia="仿宋_GB2312" w:hAnsi="仿宋_GB2312" w:cs="仿宋_GB2312" w:hint="eastAsia"/>
          <w:color w:val="000000"/>
          <w:sz w:val="32"/>
          <w:szCs w:val="32"/>
          <w:shd w:val="clear" w:color="auto" w:fill="FFFFFF"/>
        </w:rPr>
        <w:t>级。</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赴其他语种（除英语、德语、法语、日语、俄语、西班牙语、意大利语以外）国家留学者，通过国外拟留学单位组织的对该语种的面试或考试等方式达到其语言要求（应在外方邀请信中注明或单独出具证明）。</w:t>
      </w:r>
    </w:p>
    <w:p w:rsidR="00F57963" w:rsidRDefault="00C80810">
      <w:pPr>
        <w:pStyle w:val="a3"/>
        <w:shd w:val="clear" w:color="auto" w:fill="FFFFFF"/>
        <w:adjustRightInd w:val="0"/>
        <w:snapToGrid w:val="0"/>
        <w:spacing w:beforeAutospacing="0" w:afterAutospacing="0" w:line="560" w:lineRule="exact"/>
        <w:jc w:val="both"/>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二、博士研究生、联合培养博士研究生、硕士研究生及联合培养硕士研究生类别申请人，外语水平需达到以下条件之一：</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外语专业本科（含）以上毕业（专业语种应与留学目的国使用语种一致）。</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近十年内曾在同一语种国家留学一学年（</w:t>
      </w:r>
      <w:r>
        <w:rPr>
          <w:rFonts w:ascii="仿宋_GB2312" w:eastAsia="仿宋_GB2312" w:hAnsi="仿宋_GB2312" w:cs="仿宋_GB2312" w:hint="eastAsia"/>
          <w:color w:val="000000"/>
          <w:sz w:val="32"/>
          <w:szCs w:val="32"/>
          <w:shd w:val="clear" w:color="auto" w:fill="FFFFFF"/>
        </w:rPr>
        <w:t>8-12</w:t>
      </w:r>
      <w:r>
        <w:rPr>
          <w:rFonts w:ascii="仿宋_GB2312" w:eastAsia="仿宋_GB2312" w:hAnsi="仿宋_GB2312" w:cs="仿宋_GB2312" w:hint="eastAsia"/>
          <w:color w:val="000000"/>
          <w:sz w:val="32"/>
          <w:szCs w:val="32"/>
          <w:shd w:val="clear" w:color="auto" w:fill="FFFFFF"/>
        </w:rPr>
        <w:t>个月）或连续工作一年（含）以上。</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参加“全国外语水平考试”（</w:t>
      </w:r>
      <w:r>
        <w:rPr>
          <w:rFonts w:ascii="仿宋_GB2312" w:eastAsia="仿宋_GB2312" w:hAnsi="仿宋_GB2312" w:cs="仿宋_GB2312" w:hint="eastAsia"/>
          <w:color w:val="000000"/>
          <w:sz w:val="32"/>
          <w:szCs w:val="32"/>
          <w:shd w:val="clear" w:color="auto" w:fill="FFFFFF"/>
        </w:rPr>
        <w:t>WSK</w:t>
      </w:r>
      <w:r>
        <w:rPr>
          <w:rFonts w:ascii="仿宋_GB2312" w:eastAsia="仿宋_GB2312" w:hAnsi="仿宋_GB2312" w:cs="仿宋_GB2312" w:hint="eastAsia"/>
          <w:color w:val="000000"/>
          <w:sz w:val="32"/>
          <w:szCs w:val="32"/>
          <w:shd w:val="clear" w:color="auto" w:fill="FFFFFF"/>
        </w:rPr>
        <w:t>）并达到合格标准。</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参加雅思（学术类）、托福、德、法、意、西、日、韩语水平考试，成绩达到以下标准：雅思</w:t>
      </w:r>
      <w:r>
        <w:rPr>
          <w:rFonts w:ascii="仿宋_GB2312" w:eastAsia="仿宋_GB2312" w:hAnsi="仿宋_GB2312" w:cs="仿宋_GB2312" w:hint="eastAsia"/>
          <w:color w:val="000000"/>
          <w:sz w:val="32"/>
          <w:szCs w:val="32"/>
          <w:shd w:val="clear" w:color="auto" w:fill="FFFFFF"/>
        </w:rPr>
        <w:t>6.5</w:t>
      </w:r>
      <w:r>
        <w:rPr>
          <w:rFonts w:ascii="仿宋_GB2312" w:eastAsia="仿宋_GB2312" w:hAnsi="仿宋_GB2312" w:cs="仿宋_GB2312" w:hint="eastAsia"/>
          <w:color w:val="000000"/>
          <w:sz w:val="32"/>
          <w:szCs w:val="32"/>
          <w:shd w:val="clear" w:color="auto" w:fill="FFFFFF"/>
        </w:rPr>
        <w:t>分，托福（</w:t>
      </w:r>
      <w:r>
        <w:rPr>
          <w:rFonts w:ascii="仿宋_GB2312" w:eastAsia="仿宋_GB2312" w:hAnsi="仿宋_GB2312" w:cs="仿宋_GB2312" w:hint="eastAsia"/>
          <w:color w:val="000000"/>
          <w:sz w:val="32"/>
          <w:szCs w:val="32"/>
          <w:shd w:val="clear" w:color="auto" w:fill="FFFFFF"/>
        </w:rPr>
        <w:t>IBT</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95</w:t>
      </w:r>
      <w:r>
        <w:rPr>
          <w:rFonts w:ascii="仿宋_GB2312" w:eastAsia="仿宋_GB2312" w:hAnsi="仿宋_GB2312" w:cs="仿宋_GB2312" w:hint="eastAsia"/>
          <w:color w:val="000000"/>
          <w:sz w:val="32"/>
          <w:szCs w:val="32"/>
          <w:shd w:val="clear" w:color="auto" w:fill="FFFFFF"/>
        </w:rPr>
        <w:t>分，德、法、意、西语达到欧洲统一语言参考框架（</w:t>
      </w:r>
      <w:r>
        <w:rPr>
          <w:rFonts w:ascii="仿宋_GB2312" w:eastAsia="仿宋_GB2312" w:hAnsi="仿宋_GB2312" w:cs="仿宋_GB2312" w:hint="eastAsia"/>
          <w:color w:val="000000"/>
          <w:sz w:val="32"/>
          <w:szCs w:val="32"/>
          <w:shd w:val="clear" w:color="auto" w:fill="FFFFFF"/>
        </w:rPr>
        <w:t>CECRL</w:t>
      </w:r>
      <w:r>
        <w:rPr>
          <w:rFonts w:ascii="仿宋_GB2312" w:eastAsia="仿宋_GB2312" w:hAnsi="仿宋_GB2312" w:cs="仿宋_GB2312" w:hint="eastAsia"/>
          <w:color w:val="000000"/>
          <w:sz w:val="32"/>
          <w:szCs w:val="32"/>
          <w:shd w:val="clear" w:color="auto" w:fill="FFFFFF"/>
        </w:rPr>
        <w:t>）的</w:t>
      </w:r>
      <w:r>
        <w:rPr>
          <w:rFonts w:ascii="仿宋_GB2312" w:eastAsia="仿宋_GB2312" w:hAnsi="仿宋_GB2312" w:cs="仿宋_GB2312" w:hint="eastAsia"/>
          <w:color w:val="000000"/>
          <w:sz w:val="32"/>
          <w:szCs w:val="32"/>
          <w:shd w:val="clear" w:color="auto" w:fill="FFFFFF"/>
        </w:rPr>
        <w:t>B2</w:t>
      </w:r>
      <w:r>
        <w:rPr>
          <w:rFonts w:ascii="仿宋_GB2312" w:eastAsia="仿宋_GB2312" w:hAnsi="仿宋_GB2312" w:cs="仿宋_GB2312" w:hint="eastAsia"/>
          <w:color w:val="000000"/>
          <w:sz w:val="32"/>
          <w:szCs w:val="32"/>
          <w:shd w:val="clear" w:color="auto" w:fill="FFFFFF"/>
        </w:rPr>
        <w:t>级，日语达到二级（</w:t>
      </w:r>
      <w:r>
        <w:rPr>
          <w:rFonts w:ascii="仿宋_GB2312" w:eastAsia="仿宋_GB2312" w:hAnsi="仿宋_GB2312" w:cs="仿宋_GB2312" w:hint="eastAsia"/>
          <w:color w:val="000000"/>
          <w:sz w:val="32"/>
          <w:szCs w:val="32"/>
          <w:shd w:val="clear" w:color="auto" w:fill="FFFFFF"/>
        </w:rPr>
        <w:t>N2</w:t>
      </w:r>
      <w:r>
        <w:rPr>
          <w:rFonts w:ascii="仿宋_GB2312" w:eastAsia="仿宋_GB2312" w:hAnsi="仿宋_GB2312" w:cs="仿宋_GB2312" w:hint="eastAsia"/>
          <w:color w:val="000000"/>
          <w:sz w:val="32"/>
          <w:szCs w:val="32"/>
          <w:shd w:val="clear" w:color="auto" w:fill="FFFFFF"/>
        </w:rPr>
        <w:t>），韩语达到</w:t>
      </w:r>
      <w:r>
        <w:rPr>
          <w:rFonts w:ascii="仿宋_GB2312" w:eastAsia="仿宋_GB2312" w:hAnsi="仿宋_GB2312" w:cs="仿宋_GB2312" w:hint="eastAsia"/>
          <w:color w:val="000000"/>
          <w:sz w:val="32"/>
          <w:szCs w:val="32"/>
          <w:shd w:val="clear" w:color="auto" w:fill="FFFFFF"/>
        </w:rPr>
        <w:t>TOPIK4</w:t>
      </w:r>
      <w:r>
        <w:rPr>
          <w:rFonts w:ascii="仿宋_GB2312" w:eastAsia="仿宋_GB2312" w:hAnsi="仿宋_GB2312" w:cs="仿宋_GB2312" w:hint="eastAsia"/>
          <w:color w:val="000000"/>
          <w:sz w:val="32"/>
          <w:szCs w:val="32"/>
          <w:shd w:val="clear" w:color="auto" w:fill="FFFFFF"/>
        </w:rPr>
        <w:t>级。</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曾在教育部指定出国留学培训部参加相关语种培训并获得结业证书（英语为高</w:t>
      </w:r>
      <w:r>
        <w:rPr>
          <w:rFonts w:ascii="仿宋_GB2312" w:eastAsia="仿宋_GB2312" w:hAnsi="仿宋_GB2312" w:cs="仿宋_GB2312" w:hint="eastAsia"/>
          <w:color w:val="000000"/>
          <w:sz w:val="32"/>
          <w:szCs w:val="32"/>
          <w:shd w:val="clear" w:color="auto" w:fill="FFFFFF"/>
        </w:rPr>
        <w:t>级班，其他语种为中级班）。</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参加由国外拟留学单位组织的面试、考试等并达到其入学语言要求的，应在外方入学通知书（正式邀请信）中注</w:t>
      </w:r>
      <w:r>
        <w:rPr>
          <w:rFonts w:ascii="仿宋_GB2312" w:eastAsia="仿宋_GB2312" w:hAnsi="仿宋_GB2312" w:cs="仿宋_GB2312" w:hint="eastAsia"/>
          <w:color w:val="000000"/>
          <w:sz w:val="32"/>
          <w:szCs w:val="32"/>
          <w:shd w:val="clear" w:color="auto" w:fill="FFFFFF"/>
        </w:rPr>
        <w:lastRenderedPageBreak/>
        <w:t>明或单独出具证明；通过其他语言考试达到国外拟留学单位入学语言要求的（包括托福家庭版</w:t>
      </w:r>
      <w:r>
        <w:rPr>
          <w:rFonts w:ascii="仿宋_GB2312" w:eastAsia="仿宋_GB2312" w:hAnsi="仿宋_GB2312" w:cs="仿宋_GB2312" w:hint="eastAsia"/>
          <w:color w:val="000000"/>
          <w:sz w:val="32"/>
          <w:szCs w:val="32"/>
          <w:shd w:val="clear" w:color="auto" w:fill="FFFFFF"/>
        </w:rPr>
        <w:t>TOEFLiBTHomeEdition</w:t>
      </w:r>
      <w:r>
        <w:rPr>
          <w:rFonts w:ascii="仿宋_GB2312" w:eastAsia="仿宋_GB2312" w:hAnsi="仿宋_GB2312" w:cs="仿宋_GB2312" w:hint="eastAsia"/>
          <w:color w:val="000000"/>
          <w:sz w:val="32"/>
          <w:szCs w:val="32"/>
          <w:shd w:val="clear" w:color="auto" w:fill="FFFFFF"/>
        </w:rPr>
        <w:t>、雅思家庭版</w:t>
      </w:r>
      <w:r>
        <w:rPr>
          <w:rFonts w:ascii="仿宋_GB2312" w:eastAsia="仿宋_GB2312" w:hAnsi="仿宋_GB2312" w:cs="仿宋_GB2312" w:hint="eastAsia"/>
          <w:color w:val="000000"/>
          <w:sz w:val="32"/>
          <w:szCs w:val="32"/>
          <w:shd w:val="clear" w:color="auto" w:fill="FFFFFF"/>
        </w:rPr>
        <w:t>IETLSIndicator</w:t>
      </w:r>
      <w:r>
        <w:rPr>
          <w:rFonts w:ascii="仿宋_GB2312" w:eastAsia="仿宋_GB2312" w:hAnsi="仿宋_GB2312" w:cs="仿宋_GB2312" w:hint="eastAsia"/>
          <w:color w:val="000000"/>
          <w:sz w:val="32"/>
          <w:szCs w:val="32"/>
          <w:shd w:val="clear" w:color="auto" w:fill="FFFFFF"/>
        </w:rPr>
        <w:t>），须提交成绩单及外方出具的认可该语言考试的证明。</w:t>
      </w:r>
    </w:p>
    <w:p w:rsidR="00F57963" w:rsidRDefault="00C80810">
      <w:pPr>
        <w:pStyle w:val="a3"/>
        <w:shd w:val="clear" w:color="auto" w:fill="FFFFFF"/>
        <w:adjustRightInd w:val="0"/>
        <w:snapToGrid w:val="0"/>
        <w:spacing w:beforeAutospacing="0" w:afterAutospacing="0" w:line="560" w:lineRule="exact"/>
        <w:jc w:val="both"/>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三、关于创新项目外语合格条件的说明</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上述外语合格条件系留学人员申请和派出的统一标准，申请时合格且外语成绩证明在有效期内，派出时即可视为外语合格。全国外语水平考试（</w:t>
      </w:r>
      <w:r>
        <w:rPr>
          <w:rFonts w:ascii="仿宋_GB2312" w:eastAsia="仿宋_GB2312" w:hAnsi="仿宋_GB2312" w:cs="仿宋_GB2312" w:hint="eastAsia"/>
          <w:color w:val="000000"/>
          <w:sz w:val="32"/>
          <w:szCs w:val="32"/>
          <w:shd w:val="clear" w:color="auto" w:fill="FFFFFF"/>
        </w:rPr>
        <w:t>WS</w:t>
      </w:r>
      <w:r>
        <w:rPr>
          <w:rFonts w:ascii="仿宋_GB2312" w:eastAsia="仿宋_GB2312" w:hAnsi="仿宋_GB2312" w:cs="仿宋_GB2312" w:hint="eastAsia"/>
          <w:color w:val="000000"/>
          <w:sz w:val="32"/>
          <w:szCs w:val="32"/>
          <w:shd w:val="clear" w:color="auto" w:fill="FFFFFF"/>
        </w:rPr>
        <w:t>K</w:t>
      </w:r>
      <w:r>
        <w:rPr>
          <w:rFonts w:ascii="仿宋_GB2312" w:eastAsia="仿宋_GB2312" w:hAnsi="仿宋_GB2312" w:cs="仿宋_GB2312" w:hint="eastAsia"/>
          <w:color w:val="000000"/>
          <w:sz w:val="32"/>
          <w:szCs w:val="32"/>
          <w:shd w:val="clear" w:color="auto" w:fill="FFFFFF"/>
        </w:rPr>
        <w:t>）、教育部出国留学人员培训部结业证书、雅思、托福、欧洲统一语言参考框架（</w:t>
      </w:r>
      <w:r>
        <w:rPr>
          <w:rFonts w:ascii="仿宋_GB2312" w:eastAsia="仿宋_GB2312" w:hAnsi="仿宋_GB2312" w:cs="仿宋_GB2312" w:hint="eastAsia"/>
          <w:color w:val="000000"/>
          <w:sz w:val="32"/>
          <w:szCs w:val="32"/>
          <w:shd w:val="clear" w:color="auto" w:fill="FFFFFF"/>
        </w:rPr>
        <w:t>CECRL</w:t>
      </w:r>
      <w:r>
        <w:rPr>
          <w:rFonts w:ascii="仿宋_GB2312" w:eastAsia="仿宋_GB2312" w:hAnsi="仿宋_GB2312" w:cs="仿宋_GB2312" w:hint="eastAsia"/>
          <w:color w:val="000000"/>
          <w:sz w:val="32"/>
          <w:szCs w:val="32"/>
          <w:shd w:val="clear" w:color="auto" w:fill="FFFFFF"/>
        </w:rPr>
        <w:t>）、韩语（</w:t>
      </w:r>
      <w:r>
        <w:rPr>
          <w:rFonts w:ascii="仿宋_GB2312" w:eastAsia="仿宋_GB2312" w:hAnsi="仿宋_GB2312" w:cs="仿宋_GB2312" w:hint="eastAsia"/>
          <w:color w:val="000000"/>
          <w:sz w:val="32"/>
          <w:szCs w:val="32"/>
          <w:shd w:val="clear" w:color="auto" w:fill="FFFFFF"/>
        </w:rPr>
        <w:t>TOPIK</w:t>
      </w:r>
      <w:r>
        <w:rPr>
          <w:rFonts w:ascii="仿宋_GB2312" w:eastAsia="仿宋_GB2312" w:hAnsi="仿宋_GB2312" w:cs="仿宋_GB2312" w:hint="eastAsia"/>
          <w:color w:val="000000"/>
          <w:sz w:val="32"/>
          <w:szCs w:val="32"/>
          <w:shd w:val="clear" w:color="auto" w:fill="FFFFFF"/>
        </w:rPr>
        <w:t>）、日语（</w:t>
      </w:r>
      <w:r>
        <w:rPr>
          <w:rFonts w:ascii="仿宋_GB2312" w:eastAsia="仿宋_GB2312" w:hAnsi="仿宋_GB2312" w:cs="仿宋_GB2312" w:hint="eastAsia"/>
          <w:color w:val="000000"/>
          <w:sz w:val="32"/>
          <w:szCs w:val="32"/>
          <w:shd w:val="clear" w:color="auto" w:fill="FFFFFF"/>
        </w:rPr>
        <w:t>JLPT</w:t>
      </w:r>
      <w:r>
        <w:rPr>
          <w:rFonts w:ascii="仿宋_GB2312" w:eastAsia="仿宋_GB2312" w:hAnsi="仿宋_GB2312" w:cs="仿宋_GB2312" w:hint="eastAsia"/>
          <w:color w:val="000000"/>
          <w:sz w:val="32"/>
          <w:szCs w:val="32"/>
          <w:shd w:val="clear" w:color="auto" w:fill="FFFFFF"/>
        </w:rPr>
        <w:t>）成绩有效期均为两年。</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全国外语水平考试（</w:t>
      </w:r>
      <w:r>
        <w:rPr>
          <w:rFonts w:ascii="仿宋_GB2312" w:eastAsia="仿宋_GB2312" w:hAnsi="仿宋_GB2312" w:cs="仿宋_GB2312" w:hint="eastAsia"/>
          <w:color w:val="000000"/>
          <w:sz w:val="32"/>
          <w:szCs w:val="32"/>
          <w:shd w:val="clear" w:color="auto" w:fill="FFFFFF"/>
        </w:rPr>
        <w:t>WSK</w:t>
      </w:r>
      <w:r>
        <w:rPr>
          <w:rFonts w:ascii="仿宋_GB2312" w:eastAsia="仿宋_GB2312" w:hAnsi="仿宋_GB2312" w:cs="仿宋_GB2312" w:hint="eastAsia"/>
          <w:color w:val="000000"/>
          <w:sz w:val="32"/>
          <w:szCs w:val="32"/>
          <w:shd w:val="clear" w:color="auto" w:fill="FFFFFF"/>
        </w:rPr>
        <w:t>）的证明材料为全国外语水平考试</w:t>
      </w:r>
      <w:r>
        <w:rPr>
          <w:rFonts w:ascii="仿宋_GB2312" w:eastAsia="仿宋_GB2312" w:hAnsi="仿宋_GB2312" w:cs="仿宋_GB2312" w:hint="eastAsia"/>
          <w:color w:val="000000"/>
          <w:sz w:val="32"/>
          <w:szCs w:val="32"/>
          <w:shd w:val="clear" w:color="auto" w:fill="FFFFFF"/>
        </w:rPr>
        <w:t>(WSK)</w:t>
      </w:r>
      <w:r>
        <w:rPr>
          <w:rFonts w:ascii="仿宋_GB2312" w:eastAsia="仿宋_GB2312" w:hAnsi="仿宋_GB2312" w:cs="仿宋_GB2312" w:hint="eastAsia"/>
          <w:color w:val="000000"/>
          <w:sz w:val="32"/>
          <w:szCs w:val="32"/>
          <w:shd w:val="clear" w:color="auto" w:fill="FFFFFF"/>
        </w:rPr>
        <w:t>成绩通知单。</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3.</w:t>
      </w:r>
      <w:r>
        <w:rPr>
          <w:rFonts w:ascii="仿宋_GB2312" w:eastAsia="仿宋_GB2312" w:hAnsi="仿宋_GB2312" w:cs="仿宋_GB2312" w:hint="eastAsia"/>
          <w:color w:val="000000"/>
          <w:sz w:val="32"/>
          <w:szCs w:val="32"/>
          <w:shd w:val="clear" w:color="auto" w:fill="FFFFFF"/>
        </w:rPr>
        <w:t>外语专业本科（含）以上毕业的证明材料为学历或学位证书。</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4.</w:t>
      </w:r>
      <w:r>
        <w:rPr>
          <w:rFonts w:ascii="仿宋_GB2312" w:eastAsia="仿宋_GB2312" w:hAnsi="仿宋_GB2312" w:cs="仿宋_GB2312" w:hint="eastAsia"/>
          <w:color w:val="000000"/>
          <w:sz w:val="32"/>
          <w:szCs w:val="32"/>
          <w:shd w:val="clear" w:color="auto" w:fill="FFFFFF"/>
        </w:rPr>
        <w:t>曾在同一语种国家或地区留学或工作的证明材料可以提供以下所列任一：</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1</w:t>
      </w:r>
      <w:r>
        <w:rPr>
          <w:rFonts w:ascii="仿宋_GB2312" w:eastAsia="仿宋_GB2312" w:hAnsi="仿宋_GB2312" w:cs="仿宋_GB2312" w:hint="eastAsia"/>
          <w:color w:val="000000"/>
          <w:sz w:val="32"/>
          <w:szCs w:val="32"/>
          <w:shd w:val="clear" w:color="auto" w:fill="FFFFFF"/>
        </w:rPr>
        <w:t>）往年开具的《留学回国人员证明》；</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）可认定留学期限、留学单位和学历的相关佐证材料：</w:t>
      </w:r>
    </w:p>
    <w:p w:rsidR="00F57963" w:rsidRDefault="00C80810">
      <w:pPr>
        <w:pStyle w:val="a3"/>
        <w:shd w:val="clear" w:color="auto" w:fill="FFFFFF"/>
        <w:adjustRightInd w:val="0"/>
        <w:snapToGrid w:val="0"/>
        <w:spacing w:beforeAutospacing="0" w:afterAutospacing="0" w:line="56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①曾在国外取得学历学位人员应提供：国家移民管理局官网打印的本人出入境记录、国外院校颁发的学位证书或毕业证书</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教育部留学服务中心开具的国外学历学位认证书。</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②曾在国外工作或研修人员应提供：国家移民管理局官</w:t>
      </w:r>
      <w:r>
        <w:rPr>
          <w:rFonts w:ascii="仿宋_GB2312" w:eastAsia="仿宋_GB2312" w:hAnsi="仿宋_GB2312" w:cs="仿宋_GB2312" w:hint="eastAsia"/>
          <w:color w:val="000000"/>
          <w:sz w:val="32"/>
          <w:szCs w:val="32"/>
          <w:shd w:val="clear" w:color="auto" w:fill="FFFFFF"/>
        </w:rPr>
        <w:lastRenderedPageBreak/>
        <w:t>网打印的本人出入境记录、曾留学单位及国内派出单位人事部门分别出具的在外学习或工作的证明。</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对曾留学国与拟留学国使用语言不一致的，须另行提供曾留学单位出具的工作语言为相应语种的证明。</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hint="eastAsia"/>
          <w:color w:val="000000"/>
          <w:sz w:val="32"/>
          <w:szCs w:val="32"/>
          <w:shd w:val="clear" w:color="auto" w:fill="FFFFFF"/>
        </w:rPr>
        <w:t>德语、法语、西班牙语、意大利语达到欧洲统一语言参考框架（</w:t>
      </w:r>
      <w:r>
        <w:rPr>
          <w:rFonts w:ascii="仿宋_GB2312" w:eastAsia="仿宋_GB2312" w:hAnsi="仿宋_GB2312" w:cs="仿宋_GB2312" w:hint="eastAsia"/>
          <w:color w:val="000000"/>
          <w:sz w:val="32"/>
          <w:szCs w:val="32"/>
          <w:shd w:val="clear" w:color="auto" w:fill="FFFFFF"/>
        </w:rPr>
        <w:t>CECRL</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B2</w:t>
      </w:r>
      <w:r>
        <w:rPr>
          <w:rFonts w:ascii="仿宋_GB2312" w:eastAsia="仿宋_GB2312" w:hAnsi="仿宋_GB2312" w:cs="仿宋_GB2312" w:hint="eastAsia"/>
          <w:color w:val="000000"/>
          <w:sz w:val="32"/>
          <w:szCs w:val="32"/>
          <w:shd w:val="clear" w:color="auto" w:fill="FFFFFF"/>
        </w:rPr>
        <w:t>级包括参加相应语种考试并取得等同于</w:t>
      </w:r>
      <w:r>
        <w:rPr>
          <w:rFonts w:ascii="仿宋_GB2312" w:eastAsia="仿宋_GB2312" w:hAnsi="仿宋_GB2312" w:cs="仿宋_GB2312" w:hint="eastAsia"/>
          <w:color w:val="000000"/>
          <w:sz w:val="32"/>
          <w:szCs w:val="32"/>
          <w:shd w:val="clear" w:color="auto" w:fill="FFFFFF"/>
        </w:rPr>
        <w:t>CECRLB2</w:t>
      </w:r>
      <w:r>
        <w:rPr>
          <w:rFonts w:ascii="仿宋_GB2312" w:eastAsia="仿宋_GB2312" w:hAnsi="仿宋_GB2312" w:cs="仿宋_GB2312" w:hint="eastAsia"/>
          <w:color w:val="000000"/>
          <w:sz w:val="32"/>
          <w:szCs w:val="32"/>
          <w:shd w:val="clear" w:color="auto" w:fill="FFFFFF"/>
        </w:rPr>
        <w:t>级的</w:t>
      </w:r>
      <w:r>
        <w:rPr>
          <w:rFonts w:ascii="仿宋_GB2312" w:eastAsia="仿宋_GB2312" w:hAnsi="仿宋_GB2312" w:cs="仿宋_GB2312" w:hint="eastAsia"/>
          <w:color w:val="000000"/>
          <w:sz w:val="32"/>
          <w:szCs w:val="32"/>
          <w:shd w:val="clear" w:color="auto" w:fill="FFFFFF"/>
        </w:rPr>
        <w:t>证书或成绩，如德语</w:t>
      </w:r>
      <w:r>
        <w:rPr>
          <w:rFonts w:ascii="仿宋_GB2312" w:eastAsia="仿宋_GB2312" w:hAnsi="仿宋_GB2312" w:cs="仿宋_GB2312" w:hint="eastAsia"/>
          <w:color w:val="000000"/>
          <w:sz w:val="32"/>
          <w:szCs w:val="32"/>
          <w:shd w:val="clear" w:color="auto" w:fill="FFFFFF"/>
        </w:rPr>
        <w:t>TestDaF12</w:t>
      </w:r>
      <w:r>
        <w:rPr>
          <w:rFonts w:ascii="仿宋_GB2312" w:eastAsia="仿宋_GB2312" w:hAnsi="仿宋_GB2312" w:cs="仿宋_GB2312" w:hint="eastAsia"/>
          <w:color w:val="000000"/>
          <w:sz w:val="32"/>
          <w:szCs w:val="32"/>
          <w:shd w:val="clear" w:color="auto" w:fill="FFFFFF"/>
        </w:rPr>
        <w:t>分以上，法语</w:t>
      </w:r>
      <w:r>
        <w:rPr>
          <w:rFonts w:ascii="仿宋_GB2312" w:eastAsia="仿宋_GB2312" w:hAnsi="仿宋_GB2312" w:cs="仿宋_GB2312" w:hint="eastAsia"/>
          <w:color w:val="000000"/>
          <w:sz w:val="32"/>
          <w:szCs w:val="32"/>
          <w:shd w:val="clear" w:color="auto" w:fill="FFFFFF"/>
        </w:rPr>
        <w:t>TEF541</w:t>
      </w:r>
      <w:r>
        <w:rPr>
          <w:rFonts w:ascii="仿宋_GB2312" w:eastAsia="仿宋_GB2312" w:hAnsi="仿宋_GB2312" w:cs="仿宋_GB2312" w:hint="eastAsia"/>
          <w:color w:val="000000"/>
          <w:sz w:val="32"/>
          <w:szCs w:val="32"/>
          <w:shd w:val="clear" w:color="auto" w:fill="FFFFFF"/>
        </w:rPr>
        <w:t>分以上、</w:t>
      </w:r>
      <w:r>
        <w:rPr>
          <w:rFonts w:ascii="仿宋_GB2312" w:eastAsia="仿宋_GB2312" w:hAnsi="仿宋_GB2312" w:cs="仿宋_GB2312" w:hint="eastAsia"/>
          <w:color w:val="000000"/>
          <w:sz w:val="32"/>
          <w:szCs w:val="32"/>
          <w:shd w:val="clear" w:color="auto" w:fill="FFFFFF"/>
        </w:rPr>
        <w:t>TCF400</w:t>
      </w:r>
      <w:r>
        <w:rPr>
          <w:rFonts w:ascii="仿宋_GB2312" w:eastAsia="仿宋_GB2312" w:hAnsi="仿宋_GB2312" w:cs="仿宋_GB2312" w:hint="eastAsia"/>
          <w:color w:val="000000"/>
          <w:sz w:val="32"/>
          <w:szCs w:val="32"/>
          <w:shd w:val="clear" w:color="auto" w:fill="FFFFFF"/>
        </w:rPr>
        <w:t>分以上、</w:t>
      </w:r>
      <w:r>
        <w:rPr>
          <w:rFonts w:ascii="仿宋_GB2312" w:eastAsia="仿宋_GB2312" w:hAnsi="仿宋_GB2312" w:cs="仿宋_GB2312" w:hint="eastAsia"/>
          <w:color w:val="000000"/>
          <w:sz w:val="32"/>
          <w:szCs w:val="32"/>
          <w:shd w:val="clear" w:color="auto" w:fill="FFFFFF"/>
        </w:rPr>
        <w:t>DELFB2</w:t>
      </w:r>
      <w:r>
        <w:rPr>
          <w:rFonts w:ascii="仿宋_GB2312" w:eastAsia="仿宋_GB2312" w:hAnsi="仿宋_GB2312" w:cs="仿宋_GB2312" w:hint="eastAsia"/>
          <w:color w:val="000000"/>
          <w:sz w:val="32"/>
          <w:szCs w:val="32"/>
          <w:shd w:val="clear" w:color="auto" w:fill="FFFFFF"/>
        </w:rPr>
        <w:t>，西班牙语</w:t>
      </w:r>
      <w:r>
        <w:rPr>
          <w:rFonts w:ascii="仿宋_GB2312" w:eastAsia="仿宋_GB2312" w:hAnsi="仿宋_GB2312" w:cs="仿宋_GB2312" w:hint="eastAsia"/>
          <w:color w:val="000000"/>
          <w:sz w:val="32"/>
          <w:szCs w:val="32"/>
          <w:shd w:val="clear" w:color="auto" w:fill="FFFFFF"/>
        </w:rPr>
        <w:t>TELEB2</w:t>
      </w:r>
      <w:r>
        <w:rPr>
          <w:rFonts w:ascii="仿宋_GB2312" w:eastAsia="仿宋_GB2312" w:hAnsi="仿宋_GB2312" w:cs="仿宋_GB2312" w:hint="eastAsia"/>
          <w:color w:val="000000"/>
          <w:sz w:val="32"/>
          <w:szCs w:val="32"/>
          <w:shd w:val="clear" w:color="auto" w:fill="FFFFFF"/>
        </w:rPr>
        <w:t>，意大利语</w:t>
      </w:r>
      <w:r>
        <w:rPr>
          <w:rFonts w:ascii="仿宋_GB2312" w:eastAsia="仿宋_GB2312" w:hAnsi="仿宋_GB2312" w:cs="仿宋_GB2312" w:hint="eastAsia"/>
          <w:color w:val="000000"/>
          <w:sz w:val="32"/>
          <w:szCs w:val="32"/>
          <w:shd w:val="clear" w:color="auto" w:fill="FFFFFF"/>
        </w:rPr>
        <w:t>CELI3</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CILSDueB2</w:t>
      </w:r>
      <w:r>
        <w:rPr>
          <w:rFonts w:ascii="仿宋_GB2312" w:eastAsia="仿宋_GB2312" w:hAnsi="仿宋_GB2312" w:cs="仿宋_GB2312" w:hint="eastAsia"/>
          <w:color w:val="000000"/>
          <w:sz w:val="32"/>
          <w:szCs w:val="32"/>
          <w:shd w:val="clear" w:color="auto" w:fill="FFFFFF"/>
        </w:rPr>
        <w:t>、</w:t>
      </w:r>
      <w:r>
        <w:rPr>
          <w:rFonts w:ascii="仿宋_GB2312" w:eastAsia="仿宋_GB2312" w:hAnsi="仿宋_GB2312" w:cs="仿宋_GB2312" w:hint="eastAsia"/>
          <w:color w:val="000000"/>
          <w:sz w:val="32"/>
          <w:szCs w:val="32"/>
          <w:shd w:val="clear" w:color="auto" w:fill="FFFFFF"/>
        </w:rPr>
        <w:t>PLIDAB2</w:t>
      </w:r>
      <w:r>
        <w:rPr>
          <w:rFonts w:ascii="仿宋_GB2312" w:eastAsia="仿宋_GB2312" w:hAnsi="仿宋_GB2312" w:cs="仿宋_GB2312" w:hint="eastAsia"/>
          <w:color w:val="000000"/>
          <w:sz w:val="32"/>
          <w:szCs w:val="32"/>
          <w:shd w:val="clear" w:color="auto" w:fill="FFFFFF"/>
        </w:rPr>
        <w:t>等。</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6.</w:t>
      </w:r>
      <w:r>
        <w:rPr>
          <w:rFonts w:ascii="仿宋_GB2312" w:eastAsia="仿宋_GB2312" w:hAnsi="仿宋_GB2312" w:cs="仿宋_GB2312" w:hint="eastAsia"/>
          <w:color w:val="000000"/>
          <w:sz w:val="32"/>
          <w:szCs w:val="32"/>
          <w:shd w:val="clear" w:color="auto" w:fill="FFFFFF"/>
        </w:rPr>
        <w:t>赴非英语国家外语合格条件的说明</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rsidR="00F57963" w:rsidRDefault="00C80810">
      <w:pPr>
        <w:pStyle w:val="a3"/>
        <w:shd w:val="clear" w:color="auto" w:fill="FFFFFF"/>
        <w:spacing w:beforeAutospacing="0" w:afterAutospacing="0" w:line="432" w:lineRule="atLeast"/>
        <w:ind w:firstLine="48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7.</w:t>
      </w:r>
      <w:r>
        <w:rPr>
          <w:rFonts w:ascii="仿宋_GB2312" w:eastAsia="仿宋_GB2312" w:hAnsi="仿宋_GB2312" w:cs="仿宋_GB2312" w:hint="eastAsia"/>
          <w:color w:val="000000"/>
          <w:sz w:val="32"/>
          <w:szCs w:val="32"/>
          <w:shd w:val="clear" w:color="auto" w:fill="FFFFFF"/>
        </w:rPr>
        <w:t>参加教育部指定出国留学人员培训部外语培训者，由申请人自行联系有关培训部参加培训。各培训部培训语种、联系电话等信息</w:t>
      </w:r>
      <w:r>
        <w:rPr>
          <w:rFonts w:ascii="仿宋_GB2312" w:eastAsia="仿宋_GB2312" w:hAnsi="仿宋_GB2312" w:cs="仿宋_GB2312" w:hint="eastAsia"/>
          <w:color w:val="000000"/>
          <w:sz w:val="32"/>
          <w:szCs w:val="32"/>
          <w:shd w:val="clear" w:color="auto" w:fill="FFFFFF"/>
        </w:rPr>
        <w:t>请查阅《教育部指定出国留学人员培训部培训语种及联系电话》。培训前，申请人需参加有关培训部组织</w:t>
      </w:r>
      <w:r>
        <w:rPr>
          <w:rFonts w:ascii="仿宋_GB2312" w:eastAsia="仿宋_GB2312" w:hAnsi="仿宋_GB2312" w:cs="仿宋_GB2312" w:hint="eastAsia"/>
          <w:color w:val="000000"/>
          <w:sz w:val="32"/>
          <w:szCs w:val="32"/>
          <w:shd w:val="clear" w:color="auto" w:fill="FFFFFF"/>
        </w:rPr>
        <w:lastRenderedPageBreak/>
        <w:t>的水平测试，并根据测试结果安排相应级别的培训。参加英语高级班培训的人员，须参加全国统一结业考试。</w:t>
      </w:r>
    </w:p>
    <w:sectPr w:rsidR="00F579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810" w:rsidRDefault="00C80810" w:rsidP="00164536">
      <w:r>
        <w:separator/>
      </w:r>
    </w:p>
  </w:endnote>
  <w:endnote w:type="continuationSeparator" w:id="0">
    <w:p w:rsidR="00C80810" w:rsidRDefault="00C80810" w:rsidP="0016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810" w:rsidRDefault="00C80810" w:rsidP="00164536">
      <w:r>
        <w:separator/>
      </w:r>
    </w:p>
  </w:footnote>
  <w:footnote w:type="continuationSeparator" w:id="0">
    <w:p w:rsidR="00C80810" w:rsidRDefault="00C80810" w:rsidP="001645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kYmNkNjUzNzE4OTJmY2NjMTY0Yzc4Mzc1NDk1NTAifQ=="/>
  </w:docVars>
  <w:rsids>
    <w:rsidRoot w:val="378B3F27"/>
    <w:rsid w:val="00164536"/>
    <w:rsid w:val="00C80810"/>
    <w:rsid w:val="00F57963"/>
    <w:rsid w:val="1D756083"/>
    <w:rsid w:val="378B3F27"/>
    <w:rsid w:val="537E2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7A032"/>
  <w15:docId w15:val="{F17850DE-115C-482A-8C51-49E8EE33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 w:type="paragraph" w:styleId="a5">
    <w:name w:val="header"/>
    <w:basedOn w:val="a"/>
    <w:link w:val="a6"/>
    <w:rsid w:val="0016453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64536"/>
    <w:rPr>
      <w:rFonts w:asciiTheme="minorHAnsi" w:eastAsiaTheme="minorEastAsia" w:hAnsiTheme="minorHAnsi" w:cstheme="minorBidi"/>
      <w:kern w:val="2"/>
      <w:sz w:val="18"/>
      <w:szCs w:val="18"/>
    </w:rPr>
  </w:style>
  <w:style w:type="paragraph" w:styleId="a7">
    <w:name w:val="footer"/>
    <w:basedOn w:val="a"/>
    <w:link w:val="a8"/>
    <w:rsid w:val="00164536"/>
    <w:pPr>
      <w:tabs>
        <w:tab w:val="center" w:pos="4153"/>
        <w:tab w:val="right" w:pos="8306"/>
      </w:tabs>
      <w:snapToGrid w:val="0"/>
      <w:jc w:val="left"/>
    </w:pPr>
    <w:rPr>
      <w:sz w:val="18"/>
      <w:szCs w:val="18"/>
    </w:rPr>
  </w:style>
  <w:style w:type="character" w:customStyle="1" w:styleId="a8">
    <w:name w:val="页脚 字符"/>
    <w:basedOn w:val="a0"/>
    <w:link w:val="a7"/>
    <w:rsid w:val="0016453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清柒</dc:creator>
  <cp:lastModifiedBy>LX</cp:lastModifiedBy>
  <cp:revision>2</cp:revision>
  <dcterms:created xsi:type="dcterms:W3CDTF">2022-07-25T01:33:00Z</dcterms:created>
  <dcterms:modified xsi:type="dcterms:W3CDTF">2024-10-14T08:14:00Z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1E141247A5AA4C45942BBB393CFCA338</vt:lpwstr>
  </property>
</Properties>
</file>